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0518169"/>
        <w:docPartObj>
          <w:docPartGallery w:val="Cover Pages"/>
          <w:docPartUnique/>
        </w:docPartObj>
      </w:sdtPr>
      <w:sdtContent>
        <w:p w14:paraId="5A018498" w14:textId="65241CE8" w:rsidR="00915681" w:rsidRPr="0083409F" w:rsidRDefault="00915681">
          <w:r w:rsidRPr="0083409F">
            <w:rPr>
              <w:noProof/>
              <w:sz w:val="36"/>
            </w:rPr>
            <mc:AlternateContent>
              <mc:Choice Requires="wps">
                <w:drawing>
                  <wp:anchor distT="0" distB="0" distL="114300" distR="114300" simplePos="0" relativeHeight="251658240" behindDoc="0" locked="0" layoutInCell="1" allowOverlap="1" wp14:anchorId="3E68DCE5" wp14:editId="03005829">
                    <wp:simplePos x="0" y="0"/>
                    <wp:positionH relativeFrom="column">
                      <wp:posOffset>-187325</wp:posOffset>
                    </wp:positionH>
                    <wp:positionV relativeFrom="paragraph">
                      <wp:posOffset>-1445260</wp:posOffset>
                    </wp:positionV>
                    <wp:extent cx="5209540" cy="27197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62955C8E" w14:textId="16D0563F" w:rsidR="00915681" w:rsidRPr="003C2747" w:rsidRDefault="00F228C9">
                                <w:pPr>
                                  <w:pStyle w:val="Title"/>
                                </w:pPr>
                                <w:r>
                                  <w:t xml:space="preserve">Terms and Conditions </w:t>
                                </w:r>
                                <w:r w:rsidR="000557AF">
                                  <w:t>for</w:t>
                                </w:r>
                                <w:r>
                                  <w:t xml:space="preserve"> the Subscription Window</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8DCE5" id="_x0000_t202" coordsize="21600,21600" o:spt="202" path="m,l,21600r21600,l21600,xe">
                    <v:stroke joinstyle="miter"/>
                    <v:path gradientshapeok="t" o:connecttype="rect"/>
                  </v:shapetype>
                  <v:shape id="Text Box 20" o:spid="_x0000_s1026" type="#_x0000_t202" style="position:absolute;margin-left:-14.75pt;margin-top:-113.8pt;width:410.2pt;height:2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" filled="f" stroked="f" strokeweight=".5pt">
                    <v:textbox inset="0">
                      <w:txbxContent>
                        <w:p w14:paraId="62955C8E" w14:textId="16D0563F" w:rsidR="00915681" w:rsidRPr="003C2747" w:rsidRDefault="00F228C9">
                          <w:pPr>
                            <w:pStyle w:val="Title"/>
                          </w:pPr>
                          <w:r>
                            <w:t xml:space="preserve">Terms and Conditions </w:t>
                          </w:r>
                          <w:r w:rsidR="000557AF">
                            <w:t>for</w:t>
                          </w:r>
                          <w:r>
                            <w:t xml:space="preserve"> the Subscription Window</w:t>
                          </w:r>
                        </w:p>
                      </w:txbxContent>
                    </v:textbox>
                  </v:shape>
                </w:pict>
              </mc:Fallback>
            </mc:AlternateContent>
          </w:r>
          <w:r w:rsidRPr="0083409F">
            <w:rPr>
              <w:noProof/>
            </w:rPr>
            <w:drawing>
              <wp:anchor distT="0" distB="0" distL="114300" distR="114300" simplePos="0" relativeHeight="251658244" behindDoc="0" locked="0" layoutInCell="1" allowOverlap="1" wp14:anchorId="0836F7E5" wp14:editId="3FD0C6B6">
                <wp:simplePos x="0" y="0"/>
                <wp:positionH relativeFrom="column">
                  <wp:posOffset>3276600</wp:posOffset>
                </wp:positionH>
                <wp:positionV relativeFrom="page">
                  <wp:posOffset>8376285</wp:posOffset>
                </wp:positionV>
                <wp:extent cx="2529840" cy="1379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wit_logo_wit.png"/>
                        <pic:cNvPicPr/>
                      </pic:nvPicPr>
                      <pic:blipFill>
                        <a:blip r:embed="rId11" cstate="screen">
                          <a:extLst>
                            <a:ext uri="{28A0092B-C50C-407E-A947-70E740481C1C}">
                              <a14:useLocalDpi xmlns:a14="http://schemas.microsoft.com/office/drawing/2010/main"/>
                            </a:ext>
                          </a:extLst>
                        </a:blip>
                        <a:stretch>
                          <a:fillRect/>
                        </a:stretch>
                      </pic:blipFill>
                      <pic:spPr>
                        <a:xfrm>
                          <a:off x="0" y="0"/>
                          <a:ext cx="2529840" cy="1379855"/>
                        </a:xfrm>
                        <a:prstGeom prst="rect">
                          <a:avLst/>
                        </a:prstGeom>
                      </pic:spPr>
                    </pic:pic>
                  </a:graphicData>
                </a:graphic>
                <wp14:sizeRelH relativeFrom="page">
                  <wp14:pctWidth>0</wp14:pctWidth>
                </wp14:sizeRelH>
                <wp14:sizeRelV relativeFrom="page">
                  <wp14:pctHeight>0</wp14:pctHeight>
                </wp14:sizeRelV>
              </wp:anchor>
            </w:drawing>
          </w:r>
          <w:r w:rsidRPr="0083409F">
            <w:rPr>
              <w:noProof/>
              <w:sz w:val="36"/>
            </w:rPr>
            <w:drawing>
              <wp:anchor distT="0" distB="0" distL="114300" distR="114300" simplePos="0" relativeHeight="251658242" behindDoc="1" locked="0" layoutInCell="1" allowOverlap="1" wp14:anchorId="476408A3" wp14:editId="63AC2ADB">
                <wp:simplePos x="0" y="0"/>
                <wp:positionH relativeFrom="column">
                  <wp:posOffset>-187960</wp:posOffset>
                </wp:positionH>
                <wp:positionV relativeFrom="page">
                  <wp:posOffset>2246630</wp:posOffset>
                </wp:positionV>
                <wp:extent cx="493200" cy="219600"/>
                <wp:effectExtent l="0" t="0" r="2540" b="9525"/>
                <wp:wrapTight wrapText="bothSides">
                  <wp:wrapPolygon edited="0">
                    <wp:start x="0" y="0"/>
                    <wp:lineTo x="0" y="20661"/>
                    <wp:lineTo x="20876" y="20661"/>
                    <wp:lineTo x="208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2" cstate="screen">
                          <a:extLst>
                            <a:ext uri="{28A0092B-C50C-407E-A947-70E740481C1C}">
                              <a14:useLocalDpi xmlns:a14="http://schemas.microsoft.com/office/drawing/2010/main"/>
                            </a:ext>
                          </a:extLst>
                        </a:blip>
                        <a:stretch>
                          <a:fillRect/>
                        </a:stretch>
                      </pic:blipFill>
                      <pic:spPr>
                        <a:xfrm>
                          <a:off x="0" y="0"/>
                          <a:ext cx="493200" cy="219600"/>
                        </a:xfrm>
                        <a:prstGeom prst="rect">
                          <a:avLst/>
                        </a:prstGeom>
                      </pic:spPr>
                    </pic:pic>
                  </a:graphicData>
                </a:graphic>
                <wp14:sizeRelH relativeFrom="page">
                  <wp14:pctWidth>0</wp14:pctWidth>
                </wp14:sizeRelH>
                <wp14:sizeRelV relativeFrom="page">
                  <wp14:pctHeight>0</wp14:pctHeight>
                </wp14:sizeRelV>
              </wp:anchor>
            </w:drawing>
          </w:r>
        </w:p>
        <w:p w14:paraId="5A4D5A01" w14:textId="3575DFA0" w:rsidR="00B56DDB" w:rsidRPr="0083409F" w:rsidRDefault="00B857B7" w:rsidP="00CF0384">
          <w:r w:rsidRPr="0083409F">
            <w:rPr>
              <w:noProof/>
              <w:sz w:val="36"/>
            </w:rPr>
            <mc:AlternateContent>
              <mc:Choice Requires="wps">
                <w:drawing>
                  <wp:anchor distT="0" distB="0" distL="114300" distR="114300" simplePos="0" relativeHeight="251658241" behindDoc="0" locked="0" layoutInCell="1" allowOverlap="1" wp14:anchorId="068B3220" wp14:editId="3A9B060E">
                    <wp:simplePos x="0" y="0"/>
                    <wp:positionH relativeFrom="column">
                      <wp:posOffset>-203835</wp:posOffset>
                    </wp:positionH>
                    <wp:positionV relativeFrom="paragraph">
                      <wp:posOffset>1343660</wp:posOffset>
                    </wp:positionV>
                    <wp:extent cx="4944110" cy="1181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44110" cy="1181100"/>
                            </a:xfrm>
                            <a:prstGeom prst="rect">
                              <a:avLst/>
                            </a:prstGeom>
                            <a:noFill/>
                            <a:ln w="6350">
                              <a:noFill/>
                            </a:ln>
                          </wps:spPr>
                          <wps:txbx>
                            <w:txbxContent>
                              <w:p w14:paraId="47C178AB" w14:textId="3AA019B2" w:rsidR="00915681" w:rsidRDefault="001E0F49">
                                <w:pPr>
                                  <w:pStyle w:val="Subtitle"/>
                                </w:pPr>
                                <w:r>
                                  <w:t xml:space="preserve">Long-term </w:t>
                                </w:r>
                                <w:r w:rsidR="0045158E" w:rsidRPr="00095BBF">
                                  <w:t>S</w:t>
                                </w:r>
                                <w:r>
                                  <w:t>lots</w:t>
                                </w:r>
                              </w:p>
                              <w:p w14:paraId="30064825" w14:textId="622F52F0" w:rsidR="00DD7918" w:rsidRDefault="00DD7918" w:rsidP="00DD7918">
                                <w:r>
                                  <w:t>June 2024</w:t>
                                </w:r>
                              </w:p>
                              <w:p w14:paraId="71EC6BAF" w14:textId="2FFDC774" w:rsidR="00B857B7" w:rsidRPr="00DD7918" w:rsidRDefault="00B857B7" w:rsidP="00DD7918">
                                <w:r>
                                  <w:t>Version published on 13</w:t>
                                </w:r>
                                <w:r w:rsidRPr="00B857B7">
                                  <w:rPr>
                                    <w:vertAlign w:val="superscript"/>
                                  </w:rPr>
                                  <w:t>th</w:t>
                                </w:r>
                                <w:r>
                                  <w:t xml:space="preserve"> June 2024</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3220" id="Text Box 19" o:spid="_x0000_s1027" type="#_x0000_t202" style="position:absolute;margin-left:-16.05pt;margin-top:105.8pt;width:389.3pt;height: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" filled="f" stroked="f" strokeweight=".5pt">
                    <v:textbox inset="0">
                      <w:txbxContent>
                        <w:p w14:paraId="47C178AB" w14:textId="3AA019B2" w:rsidR="00915681" w:rsidRDefault="001E0F49">
                          <w:pPr>
                            <w:pStyle w:val="Subtitle"/>
                          </w:pPr>
                          <w:r>
                            <w:t xml:space="preserve">Long-term </w:t>
                          </w:r>
                          <w:r w:rsidR="0045158E" w:rsidRPr="00095BBF">
                            <w:t>S</w:t>
                          </w:r>
                          <w:r>
                            <w:t>lots</w:t>
                          </w:r>
                        </w:p>
                        <w:p w14:paraId="30064825" w14:textId="622F52F0" w:rsidR="00DD7918" w:rsidRDefault="00DD7918" w:rsidP="00DD7918">
                          <w:r>
                            <w:t>June 2024</w:t>
                          </w:r>
                        </w:p>
                        <w:p w14:paraId="71EC6BAF" w14:textId="2FFDC774" w:rsidR="00B857B7" w:rsidRPr="00DD7918" w:rsidRDefault="00B857B7" w:rsidP="00DD7918">
                          <w:r>
                            <w:t>Version published on 13</w:t>
                          </w:r>
                          <w:r w:rsidRPr="00B857B7">
                            <w:rPr>
                              <w:vertAlign w:val="superscript"/>
                            </w:rPr>
                            <w:t>th</w:t>
                          </w:r>
                          <w:r>
                            <w:t xml:space="preserve"> June 2024</w:t>
                          </w:r>
                        </w:p>
                      </w:txbxContent>
                    </v:textbox>
                  </v:shape>
                </w:pict>
              </mc:Fallback>
            </mc:AlternateContent>
          </w:r>
          <w:r w:rsidR="00915681" w:rsidRPr="0083409F">
            <w:rPr>
              <w:noProof/>
            </w:rPr>
            <w:drawing>
              <wp:anchor distT="0" distB="0" distL="114300" distR="114300" simplePos="0" relativeHeight="251658243" behindDoc="1" locked="0" layoutInCell="1" allowOverlap="1" wp14:anchorId="5EF50500" wp14:editId="78CDAAFC">
                <wp:simplePos x="0" y="0"/>
                <wp:positionH relativeFrom="margin">
                  <wp:posOffset>1034415</wp:posOffset>
                </wp:positionH>
                <wp:positionV relativeFrom="paragraph">
                  <wp:posOffset>2462530</wp:posOffset>
                </wp:positionV>
                <wp:extent cx="4876800" cy="6430068"/>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76800" cy="6430068"/>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81" w:rsidRPr="0083409F">
            <w:br w:type="page"/>
          </w:r>
        </w:p>
      </w:sdtContent>
    </w:sdt>
    <w:p w14:paraId="737F44CE" w14:textId="3CB9C58C" w:rsidR="008F4F1F" w:rsidRPr="0083409F" w:rsidRDefault="00FA2746" w:rsidP="00B61AB0">
      <w:pPr>
        <w:pStyle w:val="Heading1"/>
      </w:pPr>
      <w:r w:rsidRPr="0083409F">
        <w:lastRenderedPageBreak/>
        <w:t>Interpre</w:t>
      </w:r>
      <w:r w:rsidR="008779E1" w:rsidRPr="0083409F">
        <w:t>tation</w:t>
      </w:r>
    </w:p>
    <w:p w14:paraId="4568F5FC" w14:textId="77777777" w:rsidR="008C6993" w:rsidRPr="0083409F" w:rsidRDefault="008C6993" w:rsidP="00707188">
      <w:pPr>
        <w:jc w:val="both"/>
        <w:rPr>
          <w:lang w:val="en-US"/>
        </w:rPr>
      </w:pPr>
      <w:r w:rsidRPr="0083409F">
        <w:rPr>
          <w:lang w:val="en-US"/>
        </w:rPr>
        <w:t xml:space="preserve">In this Terms and Conditions for the Subscription Window (“TCSW”): </w:t>
      </w:r>
    </w:p>
    <w:p w14:paraId="4339155C" w14:textId="77777777" w:rsidR="008C6993" w:rsidRPr="0083409F" w:rsidRDefault="008C6993" w:rsidP="00707188">
      <w:pPr>
        <w:pStyle w:val="ListParagraph"/>
        <w:numPr>
          <w:ilvl w:val="0"/>
          <w:numId w:val="10"/>
        </w:numPr>
        <w:jc w:val="both"/>
        <w:rPr>
          <w:lang w:val="en-US"/>
        </w:rPr>
      </w:pPr>
      <w:r w:rsidRPr="0083409F">
        <w:rPr>
          <w:lang w:val="en-US"/>
        </w:rPr>
        <w:t>All references to a clause/section/paragraph, unless specified otherwise, are references to a clause/section/paragraph in this TCSW;</w:t>
      </w:r>
    </w:p>
    <w:p w14:paraId="10149F66" w14:textId="18302826" w:rsidR="008C6993" w:rsidRPr="0083409F" w:rsidRDefault="008C6993" w:rsidP="00707188">
      <w:pPr>
        <w:pStyle w:val="ListParagraph"/>
        <w:numPr>
          <w:ilvl w:val="0"/>
          <w:numId w:val="10"/>
        </w:numPr>
        <w:jc w:val="both"/>
        <w:rPr>
          <w:lang w:val="en-US"/>
        </w:rPr>
      </w:pPr>
      <w:r w:rsidRPr="0083409F">
        <w:rPr>
          <w:lang w:val="en-US"/>
        </w:rPr>
        <w:t xml:space="preserve">All capitalized words and expressions used in this TCSW are to be interpreted according to the list of definitions of </w:t>
      </w:r>
      <w:r w:rsidR="00F149C6" w:rsidRPr="0083409F">
        <w:rPr>
          <w:lang w:val="en-US"/>
        </w:rPr>
        <w:t>Chapter 5 of the LNG Access Code (“ACL”)</w:t>
      </w:r>
      <w:r w:rsidRPr="0083409F">
        <w:rPr>
          <w:lang w:val="en-US"/>
        </w:rPr>
        <w:t>, unless specifically defined in this TCSW;</w:t>
      </w:r>
    </w:p>
    <w:p w14:paraId="27B85689" w14:textId="2F573101" w:rsidR="008C6993" w:rsidRPr="0083409F" w:rsidRDefault="008C6993" w:rsidP="00707188">
      <w:pPr>
        <w:pStyle w:val="ListParagraph"/>
        <w:numPr>
          <w:ilvl w:val="0"/>
          <w:numId w:val="10"/>
        </w:numPr>
        <w:jc w:val="both"/>
        <w:rPr>
          <w:lang w:val="en-US"/>
        </w:rPr>
      </w:pPr>
      <w:r w:rsidRPr="0083409F">
        <w:rPr>
          <w:lang w:val="en-US"/>
        </w:rPr>
        <w:t xml:space="preserve">The layout, heading and (sub)sections are only for the benefit of the reader and are inconsequential as regards </w:t>
      </w:r>
      <w:r w:rsidR="00E317A5">
        <w:rPr>
          <w:lang w:val="en-US"/>
        </w:rPr>
        <w:t>to</w:t>
      </w:r>
      <w:r w:rsidRPr="0083409F">
        <w:rPr>
          <w:lang w:val="en-US"/>
        </w:rPr>
        <w:t xml:space="preserve"> the interpretation of content of this TCSW; </w:t>
      </w:r>
    </w:p>
    <w:p w14:paraId="719B95F6" w14:textId="3FA00816" w:rsidR="008C6993" w:rsidRPr="0083409F" w:rsidRDefault="008C6993" w:rsidP="00707188">
      <w:pPr>
        <w:pStyle w:val="ListParagraph"/>
        <w:numPr>
          <w:ilvl w:val="0"/>
          <w:numId w:val="10"/>
        </w:numPr>
        <w:jc w:val="both"/>
        <w:rPr>
          <w:lang w:val="en-US"/>
        </w:rPr>
      </w:pPr>
      <w:r w:rsidRPr="0083409F">
        <w:rPr>
          <w:lang w:val="en-US"/>
        </w:rPr>
        <w:t xml:space="preserve">The description of rules, conditions and provisions only relates to the </w:t>
      </w:r>
      <w:r w:rsidR="00947F22" w:rsidRPr="0083409F">
        <w:rPr>
          <w:lang w:val="en-US"/>
        </w:rPr>
        <w:t>LNG Services</w:t>
      </w:r>
      <w:r w:rsidRPr="0083409F">
        <w:rPr>
          <w:lang w:val="en-US"/>
        </w:rPr>
        <w:t xml:space="preserve"> offered via this TCSW;</w:t>
      </w:r>
    </w:p>
    <w:p w14:paraId="6C20BCF3" w14:textId="4FCFCA95" w:rsidR="008C6993" w:rsidRPr="0083409F" w:rsidRDefault="008C6993" w:rsidP="00707188">
      <w:pPr>
        <w:pStyle w:val="ListParagraph"/>
        <w:numPr>
          <w:ilvl w:val="0"/>
          <w:numId w:val="10"/>
        </w:numPr>
        <w:jc w:val="both"/>
        <w:rPr>
          <w:lang w:val="en-US"/>
        </w:rPr>
      </w:pPr>
      <w:r w:rsidRPr="0083409F">
        <w:rPr>
          <w:lang w:val="en-US"/>
        </w:rPr>
        <w:t>All dates and time are referred to as in Belgium local time.</w:t>
      </w:r>
    </w:p>
    <w:p w14:paraId="260E0150" w14:textId="7704A2F1" w:rsidR="006055DF" w:rsidRPr="0083409F" w:rsidRDefault="006055DF" w:rsidP="006055DF">
      <w:pPr>
        <w:pStyle w:val="Heading1"/>
        <w:rPr>
          <w:lang w:val="en-US"/>
        </w:rPr>
      </w:pPr>
      <w:r w:rsidRPr="0083409F">
        <w:rPr>
          <w:lang w:val="en-US"/>
        </w:rPr>
        <w:t>Introduction</w:t>
      </w:r>
    </w:p>
    <w:p w14:paraId="4659735C" w14:textId="0EB11B85" w:rsidR="00707188" w:rsidRPr="0083409F" w:rsidRDefault="009D1320" w:rsidP="001F208F">
      <w:pPr>
        <w:jc w:val="both"/>
        <w:rPr>
          <w:lang w:val="en-US"/>
        </w:rPr>
      </w:pPr>
      <w:proofErr w:type="spellStart"/>
      <w:r>
        <w:rPr>
          <w:lang w:val="en-US"/>
        </w:rPr>
        <w:t>Fluxys</w:t>
      </w:r>
      <w:proofErr w:type="spellEnd"/>
      <w:r>
        <w:rPr>
          <w:lang w:val="en-US"/>
        </w:rPr>
        <w:t xml:space="preserve"> LNG NV/SA (“Terminal Operator”) has decided to launch </w:t>
      </w:r>
      <w:r w:rsidR="00781D9D">
        <w:rPr>
          <w:lang w:val="en-US"/>
        </w:rPr>
        <w:t xml:space="preserve">a </w:t>
      </w:r>
      <w:r>
        <w:rPr>
          <w:lang w:val="en-US"/>
        </w:rPr>
        <w:t>subscription window</w:t>
      </w:r>
      <w:r w:rsidR="00781D9D">
        <w:rPr>
          <w:lang w:val="en-US"/>
        </w:rPr>
        <w:t xml:space="preserve"> combined with an Auction Form</w:t>
      </w:r>
      <w:r>
        <w:rPr>
          <w:lang w:val="en-US"/>
        </w:rPr>
        <w:t xml:space="preserve"> (“Subscription Window”) for Slots in response to a demonstrated market interest. </w:t>
      </w:r>
    </w:p>
    <w:p w14:paraId="70AB6444" w14:textId="2E29AC62" w:rsidR="00707188" w:rsidRPr="0083409F" w:rsidRDefault="00F753BC" w:rsidP="001F208F">
      <w:pPr>
        <w:jc w:val="both"/>
        <w:rPr>
          <w:lang w:val="en-US"/>
        </w:rPr>
      </w:pPr>
      <w:r>
        <w:rPr>
          <w:lang w:val="en-US"/>
        </w:rPr>
        <w:t>In accordance with and as defined in the LNG Access Code, a Slot</w:t>
      </w:r>
      <w:r w:rsidR="00780056">
        <w:rPr>
          <w:rStyle w:val="FootnoteReference"/>
          <w:lang w:val="en-US"/>
        </w:rPr>
        <w:footnoteReference w:id="2"/>
      </w:r>
      <w:r>
        <w:rPr>
          <w:lang w:val="en-US"/>
        </w:rPr>
        <w:t xml:space="preserve"> is an </w:t>
      </w:r>
      <w:r w:rsidR="009D1320">
        <w:rPr>
          <w:lang w:val="en-US"/>
        </w:rPr>
        <w:t xml:space="preserve">entitlement to berth an LNG Ship at the LNG Terminal in Zeebrugge and to unload, store and </w:t>
      </w:r>
      <w:proofErr w:type="spellStart"/>
      <w:r w:rsidR="009D1320">
        <w:rPr>
          <w:lang w:val="en-US"/>
        </w:rPr>
        <w:t>regasify</w:t>
      </w:r>
      <w:proofErr w:type="spellEnd"/>
      <w:r w:rsidR="009D1320">
        <w:rPr>
          <w:lang w:val="en-US"/>
        </w:rPr>
        <w:t xml:space="preserve"> its cargo of LNG</w:t>
      </w:r>
      <w:r w:rsidR="00707188" w:rsidRPr="0083409F">
        <w:rPr>
          <w:lang w:val="en-US"/>
        </w:rPr>
        <w:t>.</w:t>
      </w:r>
    </w:p>
    <w:p w14:paraId="3D964175" w14:textId="3183177C" w:rsidR="00F753BC" w:rsidRDefault="00F753BC" w:rsidP="001F208F">
      <w:pPr>
        <w:jc w:val="both"/>
      </w:pPr>
      <w:r w:rsidRPr="58C44F6E">
        <w:t>This TCSW defines the relation between Terminal Operator and Participant</w:t>
      </w:r>
      <w:r w:rsidR="001E043C" w:rsidRPr="58C44F6E">
        <w:t>s</w:t>
      </w:r>
      <w:r w:rsidRPr="58C44F6E">
        <w:t xml:space="preserve"> to the Subscription Window,</w:t>
      </w:r>
      <w:r w:rsidR="001E043C" w:rsidRPr="58C44F6E">
        <w:t xml:space="preserve"> </w:t>
      </w:r>
      <w:r w:rsidRPr="58C44F6E">
        <w:t xml:space="preserve">the requirements for participating to the Subscription Window, </w:t>
      </w:r>
      <w:r w:rsidR="00DB4CD9" w:rsidRPr="58C44F6E">
        <w:t>as well as</w:t>
      </w:r>
      <w:r w:rsidR="001E043C" w:rsidRPr="58C44F6E">
        <w:t xml:space="preserve"> </w:t>
      </w:r>
      <w:r w:rsidRPr="58C44F6E">
        <w:t xml:space="preserve">the evaluation and allocation rules of offered LNG Services on basis of the binding requests received by Terminal Operator (hereafter referred to as “Binding Requests”).  </w:t>
      </w:r>
    </w:p>
    <w:p w14:paraId="254FF72E" w14:textId="07E421CA" w:rsidR="00F753BC" w:rsidRPr="0083409F" w:rsidRDefault="00F753BC" w:rsidP="00F753BC">
      <w:pPr>
        <w:pStyle w:val="Heading1"/>
        <w:rPr>
          <w:lang w:val="en-US"/>
        </w:rPr>
      </w:pPr>
      <w:r>
        <w:rPr>
          <w:lang w:val="en-US"/>
        </w:rPr>
        <w:t>Terms of the Subscription Window</w:t>
      </w:r>
    </w:p>
    <w:p w14:paraId="07FBE194" w14:textId="447FFFBE" w:rsidR="00F753BC" w:rsidRDefault="00F753BC" w:rsidP="001732B9">
      <w:pPr>
        <w:pStyle w:val="Heading2"/>
        <w:rPr>
          <w:lang w:val="en-US"/>
        </w:rPr>
      </w:pPr>
      <w:r>
        <w:rPr>
          <w:lang w:val="en-US"/>
        </w:rPr>
        <w:t>Opening and Closing time</w:t>
      </w:r>
    </w:p>
    <w:p w14:paraId="7D830405" w14:textId="7FD0A764" w:rsidR="00F753BC" w:rsidRDefault="00F753BC" w:rsidP="00F753BC">
      <w:pPr>
        <w:rPr>
          <w:lang w:val="en-US"/>
        </w:rPr>
      </w:pPr>
      <w:r>
        <w:rPr>
          <w:lang w:val="en-US"/>
        </w:rPr>
        <w:t xml:space="preserve">This Subscription Window will be open from </w:t>
      </w:r>
      <w:r w:rsidR="00F41A7F" w:rsidRPr="00215A35">
        <w:rPr>
          <w:lang w:val="en-US"/>
        </w:rPr>
        <w:t>10</w:t>
      </w:r>
      <w:r w:rsidR="00F41A7F" w:rsidRPr="00215A35">
        <w:rPr>
          <w:vertAlign w:val="superscript"/>
          <w:lang w:val="en-US"/>
        </w:rPr>
        <w:t>th</w:t>
      </w:r>
      <w:r w:rsidR="00F41A7F" w:rsidRPr="00215A35">
        <w:rPr>
          <w:lang w:val="en-US"/>
        </w:rPr>
        <w:t xml:space="preserve"> June</w:t>
      </w:r>
      <w:r w:rsidRPr="00215A35">
        <w:rPr>
          <w:lang w:val="en-US"/>
        </w:rPr>
        <w:t xml:space="preserve"> 2024 at </w:t>
      </w:r>
      <w:r w:rsidR="00174A4D" w:rsidRPr="00215A35">
        <w:rPr>
          <w:lang w:val="en-US"/>
        </w:rPr>
        <w:t>5pm</w:t>
      </w:r>
      <w:r>
        <w:rPr>
          <w:lang w:val="en-US"/>
        </w:rPr>
        <w:t xml:space="preserve"> local time (“Opening Time”) until the </w:t>
      </w:r>
      <w:r w:rsidR="005D0BE8" w:rsidRPr="002370F2">
        <w:rPr>
          <w:lang w:val="en-US"/>
        </w:rPr>
        <w:t>1</w:t>
      </w:r>
      <w:r w:rsidR="005D0BE8" w:rsidRPr="002370F2">
        <w:rPr>
          <w:vertAlign w:val="superscript"/>
          <w:lang w:val="en-US"/>
        </w:rPr>
        <w:t>st</w:t>
      </w:r>
      <w:r w:rsidR="005D0BE8" w:rsidRPr="002370F2">
        <w:rPr>
          <w:lang w:val="en-US"/>
        </w:rPr>
        <w:t xml:space="preserve"> July</w:t>
      </w:r>
      <w:r w:rsidRPr="002370F2">
        <w:rPr>
          <w:lang w:val="en-US"/>
        </w:rPr>
        <w:t xml:space="preserve"> 2024 at </w:t>
      </w:r>
      <w:r w:rsidR="002370F2" w:rsidRPr="002370F2">
        <w:rPr>
          <w:lang w:val="en-US"/>
        </w:rPr>
        <w:t>2pm</w:t>
      </w:r>
      <w:r>
        <w:rPr>
          <w:lang w:val="en-US"/>
        </w:rPr>
        <w:t xml:space="preserve"> </w:t>
      </w:r>
      <w:r w:rsidR="00940609">
        <w:rPr>
          <w:lang w:val="en-US"/>
        </w:rPr>
        <w:t xml:space="preserve">local time </w:t>
      </w:r>
      <w:r>
        <w:rPr>
          <w:lang w:val="en-US"/>
        </w:rPr>
        <w:t>(“Closing Time”).</w:t>
      </w:r>
    </w:p>
    <w:p w14:paraId="43CBB02E" w14:textId="28494568" w:rsidR="00F753BC" w:rsidRDefault="00F753BC" w:rsidP="00F753BC">
      <w:pPr>
        <w:rPr>
          <w:lang w:val="en-US"/>
        </w:rPr>
      </w:pPr>
      <w:r>
        <w:rPr>
          <w:lang w:val="en-US"/>
        </w:rPr>
        <w:t xml:space="preserve">Any Binding Requests received by Terminal Operator after the Closing Time shall automatically be excluded from this Subscription Window. </w:t>
      </w:r>
    </w:p>
    <w:p w14:paraId="1DF862CD" w14:textId="6B138DA1" w:rsidR="001E043C" w:rsidRPr="00F753BC" w:rsidRDefault="001E043C" w:rsidP="00F753BC">
      <w:pPr>
        <w:rPr>
          <w:lang w:val="en-US"/>
        </w:rPr>
      </w:pPr>
      <w:r>
        <w:rPr>
          <w:lang w:val="en-US"/>
        </w:rPr>
        <w:t xml:space="preserve">LNG Services on offer will be allocated by Terminal Operator at the latest on </w:t>
      </w:r>
      <w:r w:rsidR="00E978D6">
        <w:rPr>
          <w:lang w:val="en-US"/>
        </w:rPr>
        <w:t>5</w:t>
      </w:r>
      <w:r w:rsidR="00F573C5" w:rsidRPr="004D2C1D">
        <w:rPr>
          <w:vertAlign w:val="superscript"/>
          <w:lang w:val="en-US"/>
        </w:rPr>
        <w:t>th</w:t>
      </w:r>
      <w:r w:rsidR="00F573C5" w:rsidRPr="004D2C1D">
        <w:rPr>
          <w:lang w:val="en-US"/>
        </w:rPr>
        <w:t xml:space="preserve"> July</w:t>
      </w:r>
      <w:r w:rsidRPr="004D2C1D">
        <w:rPr>
          <w:lang w:val="en-US"/>
        </w:rPr>
        <w:t xml:space="preserve"> 2024 at </w:t>
      </w:r>
      <w:r w:rsidR="002370F2" w:rsidRPr="004D2C1D">
        <w:rPr>
          <w:lang w:val="en-US"/>
        </w:rPr>
        <w:t>2pm</w:t>
      </w:r>
      <w:r w:rsidRPr="004D2C1D">
        <w:rPr>
          <w:lang w:val="en-US"/>
        </w:rPr>
        <w:t>.</w:t>
      </w:r>
    </w:p>
    <w:p w14:paraId="3CE579A7" w14:textId="3E8ED130" w:rsidR="00A62C19" w:rsidRPr="0083409F" w:rsidRDefault="001732B9" w:rsidP="001732B9">
      <w:pPr>
        <w:pStyle w:val="Heading2"/>
        <w:rPr>
          <w:lang w:val="en-US"/>
        </w:rPr>
      </w:pPr>
      <w:r w:rsidRPr="0083409F">
        <w:rPr>
          <w:lang w:val="en-US"/>
        </w:rPr>
        <w:lastRenderedPageBreak/>
        <w:t>Description of the offered Services</w:t>
      </w:r>
    </w:p>
    <w:p w14:paraId="1C44CFB6" w14:textId="56F399A0" w:rsidR="001732B9" w:rsidRPr="00F408F5" w:rsidRDefault="001732B9" w:rsidP="00F408F5">
      <w:pPr>
        <w:jc w:val="both"/>
        <w:rPr>
          <w:lang w:val="en-US"/>
        </w:rPr>
      </w:pPr>
      <w:r w:rsidRPr="0083409F">
        <w:rPr>
          <w:lang w:val="en-US"/>
        </w:rPr>
        <w:t xml:space="preserve">The </w:t>
      </w:r>
      <w:r w:rsidR="001E043C">
        <w:rPr>
          <w:lang w:val="en-US"/>
        </w:rPr>
        <w:t>LNG</w:t>
      </w:r>
      <w:r w:rsidRPr="0083409F">
        <w:rPr>
          <w:lang w:val="en-US"/>
        </w:rPr>
        <w:t xml:space="preserve"> Services</w:t>
      </w:r>
      <w:r w:rsidR="001E043C">
        <w:rPr>
          <w:lang w:val="en-US"/>
        </w:rPr>
        <w:t xml:space="preserve"> on offer</w:t>
      </w:r>
      <w:r w:rsidRPr="0083409F">
        <w:rPr>
          <w:lang w:val="en-US"/>
        </w:rPr>
        <w:t xml:space="preserve"> </w:t>
      </w:r>
      <w:r w:rsidR="001E043C">
        <w:rPr>
          <w:lang w:val="en-US"/>
        </w:rPr>
        <w:t>through</w:t>
      </w:r>
      <w:r w:rsidRPr="0083409F">
        <w:rPr>
          <w:lang w:val="en-US"/>
        </w:rPr>
        <w:t xml:space="preserve"> this Subscription Window</w:t>
      </w:r>
      <w:r w:rsidR="006B5972" w:rsidRPr="0083409F">
        <w:rPr>
          <w:lang w:val="en-US"/>
        </w:rPr>
        <w:t xml:space="preserve"> are</w:t>
      </w:r>
      <w:r w:rsidR="001E043C">
        <w:rPr>
          <w:lang w:val="en-US"/>
        </w:rPr>
        <w:t xml:space="preserve"> </w:t>
      </w:r>
      <w:r w:rsidR="001E043C" w:rsidRPr="00A96AAA">
        <w:rPr>
          <w:b/>
          <w:bCs/>
          <w:lang w:val="en-US"/>
        </w:rPr>
        <w:t>two lots of Slots</w:t>
      </w:r>
      <w:r w:rsidR="00617DDE" w:rsidRPr="00617DDE">
        <w:rPr>
          <w:lang w:val="en-US"/>
        </w:rPr>
        <w:t xml:space="preserve"> </w:t>
      </w:r>
      <w:r w:rsidR="00617DDE">
        <w:rPr>
          <w:lang w:val="en-US"/>
        </w:rPr>
        <w:t>which</w:t>
      </w:r>
      <w:r w:rsidR="00617DDE" w:rsidRPr="00617DDE">
        <w:rPr>
          <w:lang w:val="en-US"/>
        </w:rPr>
        <w:t xml:space="preserve"> can be requested between 2027 and 2044 (included)</w:t>
      </w:r>
      <w:r w:rsidR="001E043C">
        <w:rPr>
          <w:lang w:val="en-US"/>
        </w:rPr>
        <w:t xml:space="preserve">. Each lot consists of </w:t>
      </w:r>
      <w:r w:rsidR="00026DBC">
        <w:rPr>
          <w:lang w:val="en-US"/>
        </w:rPr>
        <w:t>12 Slots per year</w:t>
      </w:r>
      <w:r w:rsidR="009125B5">
        <w:rPr>
          <w:lang w:val="en-US"/>
        </w:rPr>
        <w:t xml:space="preserve">. </w:t>
      </w:r>
      <w:r w:rsidR="008405E5">
        <w:rPr>
          <w:lang w:val="en-US"/>
        </w:rPr>
        <w:t>For 2027</w:t>
      </w:r>
      <w:r w:rsidR="00A01407">
        <w:rPr>
          <w:lang w:val="en-US"/>
        </w:rPr>
        <w:t>, Slots are available as of April, leading to</w:t>
      </w:r>
      <w:r w:rsidR="00F816AB">
        <w:rPr>
          <w:lang w:val="en-US"/>
        </w:rPr>
        <w:t xml:space="preserve"> only</w:t>
      </w:r>
      <w:r w:rsidR="00270D20">
        <w:rPr>
          <w:lang w:val="en-US"/>
        </w:rPr>
        <w:t xml:space="preserve"> </w:t>
      </w:r>
      <w:r w:rsidR="00B72065">
        <w:rPr>
          <w:lang w:val="en-US"/>
        </w:rPr>
        <w:t>9 slots on offer for that specific year.</w:t>
      </w:r>
      <w:r w:rsidR="00A01407">
        <w:rPr>
          <w:lang w:val="en-US"/>
        </w:rPr>
        <w:t xml:space="preserve"> </w:t>
      </w:r>
      <w:r w:rsidR="001E043C" w:rsidRPr="00F408F5">
        <w:rPr>
          <w:lang w:val="en-US"/>
        </w:rPr>
        <w:t xml:space="preserve"> </w:t>
      </w:r>
    </w:p>
    <w:p w14:paraId="0C270BE9" w14:textId="731F4058" w:rsidR="0085234F" w:rsidRDefault="0085234F" w:rsidP="001F208F">
      <w:pPr>
        <w:jc w:val="both"/>
        <w:rPr>
          <w:lang w:val="en-US"/>
        </w:rPr>
      </w:pPr>
      <w:r>
        <w:rPr>
          <w:lang w:val="en-US"/>
        </w:rPr>
        <w:t>In line with the applicable scheduling rules as described in Article 3.1.1 of the ACL, each lot offers thus the possibility to bring</w:t>
      </w:r>
      <w:r w:rsidR="0053120A">
        <w:rPr>
          <w:lang w:val="en-US"/>
        </w:rPr>
        <w:t xml:space="preserve"> each month</w:t>
      </w:r>
      <w:r>
        <w:rPr>
          <w:lang w:val="en-US"/>
        </w:rPr>
        <w:t xml:space="preserve"> one cargo of LNG to the </w:t>
      </w:r>
      <w:r w:rsidR="00410FBE">
        <w:rPr>
          <w:lang w:val="en-US"/>
        </w:rPr>
        <w:t xml:space="preserve">LNG Terminal in </w:t>
      </w:r>
      <w:r>
        <w:rPr>
          <w:lang w:val="en-US"/>
        </w:rPr>
        <w:t>Zeebrugge.</w:t>
      </w:r>
    </w:p>
    <w:p w14:paraId="23C68BAA" w14:textId="4F53F628" w:rsidR="008573B6" w:rsidRDefault="008573B6" w:rsidP="40348C7B">
      <w:pPr>
        <w:jc w:val="both"/>
        <w:rPr>
          <w:lang w:val="en-US"/>
        </w:rPr>
      </w:pPr>
      <w:r w:rsidRPr="40348C7B">
        <w:rPr>
          <w:b/>
          <w:bCs/>
          <w:lang w:val="en-US"/>
        </w:rPr>
        <w:t>For each lot, the number of Slots per year is fixed</w:t>
      </w:r>
      <w:r w:rsidRPr="40348C7B">
        <w:rPr>
          <w:lang w:val="en-US"/>
        </w:rPr>
        <w:t>. Participants are</w:t>
      </w:r>
      <w:r w:rsidR="00986736" w:rsidRPr="40348C7B">
        <w:rPr>
          <w:lang w:val="en-US"/>
        </w:rPr>
        <w:t xml:space="preserve"> however</w:t>
      </w:r>
      <w:r w:rsidRPr="40348C7B">
        <w:rPr>
          <w:lang w:val="en-US"/>
        </w:rPr>
        <w:t xml:space="preserve"> free to choose the start year and end year of the period for which they would like to subscribe </w:t>
      </w:r>
      <w:r w:rsidR="00F408F5" w:rsidRPr="40348C7B">
        <w:rPr>
          <w:lang w:val="en-US"/>
        </w:rPr>
        <w:t>such</w:t>
      </w:r>
      <w:r w:rsidRPr="40348C7B">
        <w:rPr>
          <w:lang w:val="en-US"/>
        </w:rPr>
        <w:t xml:space="preserve"> lots. For example, a Participant can choose to request 1 lot for the period 2030 to 2040. A minimum subscription period of one Year is required, except for 2027 where the minimum subscription period is reduced to nine Months and start</w:t>
      </w:r>
      <w:r w:rsidR="00986736" w:rsidRPr="40348C7B">
        <w:rPr>
          <w:lang w:val="en-US"/>
        </w:rPr>
        <w:t>s</w:t>
      </w:r>
      <w:r w:rsidRPr="40348C7B">
        <w:rPr>
          <w:lang w:val="en-US"/>
        </w:rPr>
        <w:t xml:space="preserve"> on the 1st of April</w:t>
      </w:r>
      <w:r w:rsidR="00986736" w:rsidRPr="40348C7B">
        <w:rPr>
          <w:lang w:val="en-US"/>
        </w:rPr>
        <w:t>.</w:t>
      </w:r>
      <w:r w:rsidRPr="40348C7B">
        <w:rPr>
          <w:lang w:val="en-US"/>
        </w:rPr>
        <w:t xml:space="preserve"> </w:t>
      </w:r>
    </w:p>
    <w:p w14:paraId="46A923FA" w14:textId="257CFBBB" w:rsidR="00DB585C" w:rsidRPr="0083409F" w:rsidRDefault="000145F0" w:rsidP="00DB585C">
      <w:pPr>
        <w:pStyle w:val="Heading2"/>
        <w:rPr>
          <w:lang w:val="en-US"/>
        </w:rPr>
      </w:pPr>
      <w:r w:rsidRPr="0083409F">
        <w:rPr>
          <w:lang w:val="en-US"/>
        </w:rPr>
        <w:t>Tariff</w:t>
      </w:r>
    </w:p>
    <w:p w14:paraId="5D640420" w14:textId="2E9DCEC0" w:rsidR="00531C04" w:rsidRPr="0083409F" w:rsidRDefault="009F292D" w:rsidP="00531C04">
      <w:pPr>
        <w:rPr>
          <w:lang w:val="en-US"/>
        </w:rPr>
      </w:pPr>
      <w:r>
        <w:rPr>
          <w:lang w:val="en-US"/>
        </w:rPr>
        <w:t xml:space="preserve">The applicable Tariff for the Services contracted under this Subscription Window will be the Regulated Tariff as approved by the CREG, </w:t>
      </w:r>
      <w:r w:rsidR="001E043C">
        <w:rPr>
          <w:lang w:val="en-US"/>
        </w:rPr>
        <w:t xml:space="preserve">which can be found on </w:t>
      </w:r>
      <w:proofErr w:type="spellStart"/>
      <w:r w:rsidR="001E043C">
        <w:rPr>
          <w:lang w:val="en-US"/>
        </w:rPr>
        <w:t>F</w:t>
      </w:r>
      <w:r w:rsidR="008320A4" w:rsidRPr="0083409F">
        <w:rPr>
          <w:lang w:val="en-US"/>
        </w:rPr>
        <w:t>lu</w:t>
      </w:r>
      <w:r w:rsidR="00053705" w:rsidRPr="0083409F">
        <w:rPr>
          <w:lang w:val="en-US"/>
        </w:rPr>
        <w:t>xys</w:t>
      </w:r>
      <w:proofErr w:type="spellEnd"/>
      <w:r w:rsidR="00053705" w:rsidRPr="0083409F">
        <w:rPr>
          <w:lang w:val="en-US"/>
        </w:rPr>
        <w:t xml:space="preserve"> </w:t>
      </w:r>
      <w:hyperlink r:id="rId14" w:history="1">
        <w:r w:rsidR="00053705" w:rsidRPr="0083409F">
          <w:rPr>
            <w:rStyle w:val="Hyperlink"/>
            <w:lang w:val="en-US"/>
          </w:rPr>
          <w:t>website</w:t>
        </w:r>
      </w:hyperlink>
      <w:r w:rsidR="00D87CCA" w:rsidRPr="008573B6">
        <w:rPr>
          <w:rStyle w:val="Hyperlink"/>
          <w:u w:val="none"/>
          <w:lang w:val="en-US"/>
        </w:rPr>
        <w:t xml:space="preserve">, </w:t>
      </w:r>
      <w:r w:rsidR="00D87CCA" w:rsidRPr="00305D29">
        <w:t xml:space="preserve">plus any </w:t>
      </w:r>
      <w:r w:rsidR="00781D9D" w:rsidRPr="00305D29">
        <w:t xml:space="preserve">applicable </w:t>
      </w:r>
      <w:r w:rsidR="00D87CCA" w:rsidRPr="00305D29">
        <w:t xml:space="preserve">premium </w:t>
      </w:r>
      <w:r w:rsidR="00781D9D" w:rsidRPr="00305D29">
        <w:t xml:space="preserve">as defined in section </w:t>
      </w:r>
      <w:r w:rsidR="00781D9D" w:rsidRPr="00305D29">
        <w:fldChar w:fldCharType="begin"/>
      </w:r>
      <w:r w:rsidR="00781D9D" w:rsidRPr="00305D29">
        <w:instrText xml:space="preserve"> REF _Ref163749028 \r \h </w:instrText>
      </w:r>
      <w:r w:rsidR="00305D29">
        <w:instrText xml:space="preserve"> \* MERGEFORMAT </w:instrText>
      </w:r>
      <w:r w:rsidR="00781D9D" w:rsidRPr="00305D29">
        <w:fldChar w:fldCharType="separate"/>
      </w:r>
      <w:r w:rsidR="00781D9D" w:rsidRPr="00305D29">
        <w:t>5</w:t>
      </w:r>
      <w:r w:rsidR="00781D9D" w:rsidRPr="00305D29">
        <w:fldChar w:fldCharType="end"/>
      </w:r>
      <w:r w:rsidR="00053705" w:rsidRPr="008573B6">
        <w:rPr>
          <w:lang w:val="en-US"/>
        </w:rPr>
        <w:t>.</w:t>
      </w:r>
    </w:p>
    <w:p w14:paraId="151B150C" w14:textId="406CB8CB" w:rsidR="006F3D57" w:rsidRDefault="006F3D57" w:rsidP="00531C04">
      <w:pPr>
        <w:rPr>
          <w:lang w:val="en-US"/>
        </w:rPr>
      </w:pPr>
      <w:r w:rsidRPr="0083409F">
        <w:rPr>
          <w:lang w:val="en-US"/>
        </w:rPr>
        <w:t xml:space="preserve">For information, the </w:t>
      </w:r>
      <w:r w:rsidR="001E043C">
        <w:rPr>
          <w:lang w:val="en-US"/>
        </w:rPr>
        <w:t xml:space="preserve">Regulated </w:t>
      </w:r>
      <w:r w:rsidRPr="0083409F">
        <w:rPr>
          <w:lang w:val="en-US"/>
        </w:rPr>
        <w:t>Tariff</w:t>
      </w:r>
      <w:r w:rsidR="001E043C">
        <w:rPr>
          <w:lang w:val="en-US"/>
        </w:rPr>
        <w:t xml:space="preserve"> for a Slot</w:t>
      </w:r>
      <w:r w:rsidRPr="0083409F">
        <w:rPr>
          <w:lang w:val="en-US"/>
        </w:rPr>
        <w:t xml:space="preserve"> during the month of </w:t>
      </w:r>
      <w:r w:rsidR="00A56991">
        <w:rPr>
          <w:lang w:val="en-US"/>
        </w:rPr>
        <w:t>June</w:t>
      </w:r>
      <w:r w:rsidRPr="0083409F">
        <w:rPr>
          <w:lang w:val="en-US"/>
        </w:rPr>
        <w:t xml:space="preserve"> 202</w:t>
      </w:r>
      <w:r w:rsidR="001E043C">
        <w:rPr>
          <w:lang w:val="en-US"/>
        </w:rPr>
        <w:t>4</w:t>
      </w:r>
      <w:r w:rsidRPr="0083409F">
        <w:rPr>
          <w:lang w:val="en-US"/>
        </w:rPr>
        <w:t xml:space="preserve"> (calculated with the index of </w:t>
      </w:r>
      <w:r w:rsidR="00A56991">
        <w:rPr>
          <w:lang w:val="en-US"/>
        </w:rPr>
        <w:t>May</w:t>
      </w:r>
      <w:r w:rsidR="00765484" w:rsidRPr="0083409F">
        <w:rPr>
          <w:lang w:val="en-US"/>
        </w:rPr>
        <w:t xml:space="preserve"> 202</w:t>
      </w:r>
      <w:r w:rsidR="001E043C">
        <w:rPr>
          <w:lang w:val="en-US"/>
        </w:rPr>
        <w:t>4</w:t>
      </w:r>
      <w:r w:rsidRPr="0083409F">
        <w:rPr>
          <w:lang w:val="en-US"/>
        </w:rPr>
        <w:t xml:space="preserve">) </w:t>
      </w:r>
      <w:r w:rsidR="001E043C">
        <w:rPr>
          <w:lang w:val="en-US"/>
        </w:rPr>
        <w:t xml:space="preserve">is </w:t>
      </w:r>
      <w:r w:rsidR="005F4BC8">
        <w:rPr>
          <w:lang w:val="en-US"/>
        </w:rPr>
        <w:t>615.032,09</w:t>
      </w:r>
      <w:r w:rsidR="001E043C">
        <w:rPr>
          <w:lang w:val="en-US"/>
        </w:rPr>
        <w:t xml:space="preserve"> €/</w:t>
      </w:r>
      <w:r w:rsidR="009F292D">
        <w:rPr>
          <w:lang w:val="en-US"/>
        </w:rPr>
        <w:t>Slot</w:t>
      </w:r>
    </w:p>
    <w:p w14:paraId="680D1854" w14:textId="0F491609" w:rsidR="009F292D" w:rsidRPr="0083409F" w:rsidRDefault="005B7E04" w:rsidP="00414F5B">
      <w:pPr>
        <w:jc w:val="both"/>
        <w:rPr>
          <w:lang w:val="en-US"/>
        </w:rPr>
      </w:pPr>
      <w:r>
        <w:rPr>
          <w:lang w:val="en-US"/>
        </w:rPr>
        <w:t xml:space="preserve">It should be noted that CREG has approved the Regulated Tariffs for LNG Services until 2039 included. </w:t>
      </w:r>
      <w:r w:rsidR="009F292D">
        <w:rPr>
          <w:lang w:val="en-US"/>
        </w:rPr>
        <w:t xml:space="preserve">Any Binding Request with regards to lots on offer </w:t>
      </w:r>
      <w:r w:rsidR="00D87CCA">
        <w:rPr>
          <w:lang w:val="en-US"/>
        </w:rPr>
        <w:t>for the period from 1</w:t>
      </w:r>
      <w:r w:rsidR="00D87CCA" w:rsidRPr="00781D9D">
        <w:rPr>
          <w:vertAlign w:val="superscript"/>
          <w:lang w:val="en-US"/>
        </w:rPr>
        <w:t>st</w:t>
      </w:r>
      <w:r w:rsidR="00D87CCA">
        <w:rPr>
          <w:lang w:val="en-US"/>
        </w:rPr>
        <w:t xml:space="preserve"> January 2040 until 31</w:t>
      </w:r>
      <w:r w:rsidR="00D87CCA" w:rsidRPr="00781D9D">
        <w:rPr>
          <w:vertAlign w:val="superscript"/>
          <w:lang w:val="en-US"/>
        </w:rPr>
        <w:t>st</w:t>
      </w:r>
      <w:r w:rsidR="00D87CCA">
        <w:rPr>
          <w:lang w:val="en-US"/>
        </w:rPr>
        <w:t xml:space="preserve"> December 2044 </w:t>
      </w:r>
      <w:r w:rsidR="009F292D">
        <w:rPr>
          <w:lang w:val="en-US"/>
        </w:rPr>
        <w:t xml:space="preserve">shall remain conditional upon the Regulated Tariff for Slots approved by the CREG </w:t>
      </w:r>
      <w:r w:rsidR="00434808">
        <w:rPr>
          <w:lang w:val="en-US"/>
        </w:rPr>
        <w:t xml:space="preserve">not </w:t>
      </w:r>
      <w:r w:rsidR="009F292D">
        <w:rPr>
          <w:lang w:val="en-US"/>
        </w:rPr>
        <w:t xml:space="preserve">being higher than the currently applicable Regulated Tariff adjusted for </w:t>
      </w:r>
      <w:r w:rsidR="00C96BD8">
        <w:rPr>
          <w:lang w:val="en-US"/>
        </w:rPr>
        <w:t>indexation.</w:t>
      </w:r>
      <w:r w:rsidR="009F292D">
        <w:rPr>
          <w:lang w:val="en-US"/>
        </w:rPr>
        <w:t xml:space="preserve"> </w:t>
      </w:r>
      <w:r w:rsidR="00D87CCA">
        <w:rPr>
          <w:lang w:val="en-US"/>
        </w:rPr>
        <w:t xml:space="preserve">In case </w:t>
      </w:r>
      <w:r w:rsidR="008573B6">
        <w:rPr>
          <w:lang w:val="en-US"/>
        </w:rPr>
        <w:t xml:space="preserve">this </w:t>
      </w:r>
      <w:r w:rsidR="00D87CCA">
        <w:rPr>
          <w:lang w:val="en-US"/>
        </w:rPr>
        <w:t>condition is not met</w:t>
      </w:r>
      <w:r w:rsidR="00781D9D">
        <w:rPr>
          <w:lang w:val="en-US"/>
        </w:rPr>
        <w:t>, Participant</w:t>
      </w:r>
      <w:r w:rsidR="00895473">
        <w:rPr>
          <w:lang w:val="en-US"/>
        </w:rPr>
        <w:t xml:space="preserve"> </w:t>
      </w:r>
      <w:r w:rsidR="008E57D5">
        <w:rPr>
          <w:lang w:val="en-US"/>
        </w:rPr>
        <w:t>may</w:t>
      </w:r>
      <w:r w:rsidR="00781D9D">
        <w:rPr>
          <w:lang w:val="en-US"/>
        </w:rPr>
        <w:t xml:space="preserve"> request Terminal Operator to reduce the number of its allocated Slots in order to </w:t>
      </w:r>
      <w:r w:rsidR="008E57D5">
        <w:rPr>
          <w:lang w:val="en-US"/>
        </w:rPr>
        <w:t>offset</w:t>
      </w:r>
      <w:r w:rsidR="00781D9D">
        <w:rPr>
          <w:lang w:val="en-US"/>
        </w:rPr>
        <w:t xml:space="preserve"> the increase in Regulated Tariff.</w:t>
      </w:r>
    </w:p>
    <w:p w14:paraId="50A4068F" w14:textId="51AC2EE9" w:rsidR="00E73BBC" w:rsidRPr="0083409F" w:rsidRDefault="00CD5213" w:rsidP="00E73BBC">
      <w:pPr>
        <w:pStyle w:val="Heading1"/>
        <w:rPr>
          <w:lang w:val="en-US"/>
        </w:rPr>
      </w:pPr>
      <w:r w:rsidRPr="0083409F">
        <w:rPr>
          <w:lang w:val="en-US"/>
        </w:rPr>
        <w:t>Participating and submitting a Binding Request</w:t>
      </w:r>
    </w:p>
    <w:p w14:paraId="63E0C8AC" w14:textId="13140B05" w:rsidR="005E708A" w:rsidRPr="0083409F" w:rsidRDefault="009D1A26" w:rsidP="005E708A">
      <w:pPr>
        <w:pStyle w:val="Heading2"/>
        <w:rPr>
          <w:lang w:val="en-US"/>
        </w:rPr>
      </w:pPr>
      <w:r w:rsidRPr="0083409F">
        <w:rPr>
          <w:lang w:val="en-US"/>
        </w:rPr>
        <w:t>Becoming a Terminal User</w:t>
      </w:r>
    </w:p>
    <w:p w14:paraId="3E493133" w14:textId="51247BC6" w:rsidR="001E6200" w:rsidRPr="0083409F" w:rsidRDefault="00ED1B6E" w:rsidP="001E6200">
      <w:pPr>
        <w:jc w:val="both"/>
        <w:rPr>
          <w:lang w:val="en-US"/>
        </w:rPr>
      </w:pPr>
      <w:r>
        <w:rPr>
          <w:lang w:val="en-US"/>
        </w:rPr>
        <w:t>This Subscription Window is open to any Terminal User who has signed</w:t>
      </w:r>
      <w:r w:rsidR="001E6200" w:rsidRPr="0083409F">
        <w:rPr>
          <w:lang w:val="en-US"/>
        </w:rPr>
        <w:t xml:space="preserve"> </w:t>
      </w:r>
      <w:r>
        <w:rPr>
          <w:lang w:val="en-US"/>
        </w:rPr>
        <w:t>an</w:t>
      </w:r>
      <w:r w:rsidR="001E6200" w:rsidRPr="0083409F">
        <w:rPr>
          <w:lang w:val="en-US"/>
        </w:rPr>
        <w:t xml:space="preserve"> LNG </w:t>
      </w:r>
      <w:r w:rsidR="00CF6FF1">
        <w:rPr>
          <w:lang w:val="en-US"/>
        </w:rPr>
        <w:t>Services</w:t>
      </w:r>
      <w:r w:rsidR="001E6200" w:rsidRPr="0083409F">
        <w:rPr>
          <w:lang w:val="en-US"/>
        </w:rPr>
        <w:t xml:space="preserve"> Agreement (“L</w:t>
      </w:r>
      <w:r>
        <w:rPr>
          <w:lang w:val="en-US"/>
        </w:rPr>
        <w:t>S</w:t>
      </w:r>
      <w:r w:rsidR="001E6200" w:rsidRPr="0083409F">
        <w:rPr>
          <w:lang w:val="en-US"/>
        </w:rPr>
        <w:t>A”). To that end, interested parties who have not yet entered into a</w:t>
      </w:r>
      <w:r w:rsidR="00DE350C">
        <w:rPr>
          <w:lang w:val="en-US"/>
        </w:rPr>
        <w:t>n</w:t>
      </w:r>
      <w:r w:rsidR="001E6200" w:rsidRPr="0083409F">
        <w:rPr>
          <w:lang w:val="en-US"/>
        </w:rPr>
        <w:t xml:space="preserve"> L</w:t>
      </w:r>
      <w:r>
        <w:rPr>
          <w:lang w:val="en-US"/>
        </w:rPr>
        <w:t>S</w:t>
      </w:r>
      <w:r w:rsidR="001E6200" w:rsidRPr="0083409F">
        <w:rPr>
          <w:lang w:val="en-US"/>
        </w:rPr>
        <w:t>A need to:</w:t>
      </w:r>
    </w:p>
    <w:p w14:paraId="0791E263" w14:textId="3977E877" w:rsidR="001E6200" w:rsidRPr="0083409F" w:rsidRDefault="001E6200" w:rsidP="001E6200">
      <w:pPr>
        <w:pStyle w:val="ListParagraph"/>
        <w:numPr>
          <w:ilvl w:val="0"/>
          <w:numId w:val="13"/>
        </w:numPr>
        <w:jc w:val="both"/>
        <w:rPr>
          <w:lang w:val="en-US"/>
        </w:rPr>
      </w:pPr>
      <w:r w:rsidRPr="0083409F">
        <w:rPr>
          <w:lang w:val="en-US"/>
        </w:rPr>
        <w:t xml:space="preserve">Make a request to receive the </w:t>
      </w:r>
      <w:r w:rsidR="00CF6FF1">
        <w:rPr>
          <w:lang w:val="en-US"/>
        </w:rPr>
        <w:t>LSA</w:t>
      </w:r>
      <w:r w:rsidRPr="0083409F">
        <w:rPr>
          <w:lang w:val="en-US"/>
        </w:rPr>
        <w:t xml:space="preserve"> by sending a completed </w:t>
      </w:r>
      <w:hyperlink r:id="rId15" w:history="1">
        <w:r w:rsidRPr="00490398">
          <w:rPr>
            <w:rStyle w:val="Hyperlink"/>
            <w:lang w:val="en-US"/>
          </w:rPr>
          <w:t>Know-Your-Customer Form</w:t>
        </w:r>
      </w:hyperlink>
      <w:r w:rsidR="00C15B7D">
        <w:rPr>
          <w:lang w:val="en-US"/>
        </w:rPr>
        <w:t xml:space="preserve"> (“KYC”)</w:t>
      </w:r>
      <w:r w:rsidRPr="0083409F">
        <w:rPr>
          <w:lang w:val="en-US"/>
        </w:rPr>
        <w:t xml:space="preserve"> to </w:t>
      </w:r>
      <w:hyperlink r:id="rId16" w:history="1">
        <w:r w:rsidRPr="0083409F">
          <w:rPr>
            <w:rStyle w:val="Hyperlink"/>
            <w:lang w:val="en-US"/>
          </w:rPr>
          <w:t>info.lng@fluxys.com</w:t>
        </w:r>
      </w:hyperlink>
      <w:r w:rsidRPr="0083409F">
        <w:rPr>
          <w:lang w:val="en-US"/>
        </w:rPr>
        <w:t xml:space="preserve">; </w:t>
      </w:r>
    </w:p>
    <w:p w14:paraId="68D975B4" w14:textId="7317456C" w:rsidR="001E6200" w:rsidRPr="0083409F" w:rsidRDefault="001E6200" w:rsidP="001E6200">
      <w:pPr>
        <w:pStyle w:val="ListParagraph"/>
        <w:numPr>
          <w:ilvl w:val="0"/>
          <w:numId w:val="13"/>
        </w:numPr>
        <w:jc w:val="both"/>
        <w:rPr>
          <w:lang w:val="en-US"/>
        </w:rPr>
      </w:pPr>
      <w:r w:rsidRPr="0083409F">
        <w:rPr>
          <w:lang w:val="en-US"/>
        </w:rPr>
        <w:t xml:space="preserve">The requesting party will receive a </w:t>
      </w:r>
      <w:r w:rsidR="005F7C7B">
        <w:rPr>
          <w:lang w:val="en-US"/>
        </w:rPr>
        <w:t xml:space="preserve">signed </w:t>
      </w:r>
      <w:r w:rsidR="007D0468">
        <w:rPr>
          <w:lang w:val="en-US"/>
        </w:rPr>
        <w:t>version</w:t>
      </w:r>
      <w:r w:rsidR="007D0468" w:rsidRPr="0083409F">
        <w:rPr>
          <w:lang w:val="en-US"/>
        </w:rPr>
        <w:t xml:space="preserve"> </w:t>
      </w:r>
      <w:r w:rsidRPr="0083409F">
        <w:rPr>
          <w:lang w:val="en-US"/>
        </w:rPr>
        <w:t xml:space="preserve">of the </w:t>
      </w:r>
      <w:r w:rsidR="00CF6FF1">
        <w:rPr>
          <w:lang w:val="en-US"/>
        </w:rPr>
        <w:t>LSA</w:t>
      </w:r>
      <w:r w:rsidRPr="0083409F">
        <w:rPr>
          <w:lang w:val="en-US"/>
        </w:rPr>
        <w:t xml:space="preserve"> after Terminal Operator has </w:t>
      </w:r>
      <w:r w:rsidR="009256A1">
        <w:rPr>
          <w:lang w:val="en-US"/>
        </w:rPr>
        <w:t xml:space="preserve">carried out </w:t>
      </w:r>
      <w:r w:rsidR="005D5A2A">
        <w:rPr>
          <w:lang w:val="en-US"/>
        </w:rPr>
        <w:t xml:space="preserve">a positive </w:t>
      </w:r>
      <w:r w:rsidR="009256A1">
        <w:rPr>
          <w:lang w:val="en-US"/>
        </w:rPr>
        <w:t>internal assessment of</w:t>
      </w:r>
      <w:r w:rsidRPr="0083409F">
        <w:rPr>
          <w:lang w:val="en-US"/>
        </w:rPr>
        <w:t xml:space="preserve"> all information required in the KYC;</w:t>
      </w:r>
    </w:p>
    <w:p w14:paraId="30FA0C15" w14:textId="0DA04973" w:rsidR="001E6200" w:rsidRPr="0083409F" w:rsidRDefault="001E6200" w:rsidP="001E6200">
      <w:pPr>
        <w:pStyle w:val="ListParagraph"/>
        <w:numPr>
          <w:ilvl w:val="0"/>
          <w:numId w:val="13"/>
        </w:numPr>
        <w:jc w:val="both"/>
        <w:rPr>
          <w:lang w:val="en-US"/>
        </w:rPr>
      </w:pPr>
      <w:r w:rsidRPr="0083409F">
        <w:rPr>
          <w:lang w:val="en-US"/>
        </w:rPr>
        <w:lastRenderedPageBreak/>
        <w:t xml:space="preserve">Return to Terminal Operator </w:t>
      </w:r>
      <w:r w:rsidR="00CF6FF1">
        <w:rPr>
          <w:lang w:val="en-US"/>
        </w:rPr>
        <w:t>one</w:t>
      </w:r>
      <w:r w:rsidRPr="0083409F">
        <w:rPr>
          <w:lang w:val="en-US"/>
        </w:rPr>
        <w:t xml:space="preserve"> duly signed and initialed cop</w:t>
      </w:r>
      <w:r w:rsidR="00CF6FF1">
        <w:rPr>
          <w:lang w:val="en-US"/>
        </w:rPr>
        <w:t>y</w:t>
      </w:r>
      <w:r w:rsidRPr="0083409F">
        <w:rPr>
          <w:lang w:val="en-US"/>
        </w:rPr>
        <w:t xml:space="preserve"> of the </w:t>
      </w:r>
      <w:r w:rsidR="00CF6FF1">
        <w:rPr>
          <w:lang w:val="en-US"/>
        </w:rPr>
        <w:t>LSA</w:t>
      </w:r>
      <w:r w:rsidRPr="0083409F">
        <w:rPr>
          <w:lang w:val="en-US"/>
        </w:rPr>
        <w:t xml:space="preserve">. </w:t>
      </w:r>
    </w:p>
    <w:p w14:paraId="0E4788B0" w14:textId="4A22C94C" w:rsidR="001E6200" w:rsidRPr="0083409F" w:rsidRDefault="001E6200" w:rsidP="001E6200">
      <w:pPr>
        <w:jc w:val="both"/>
        <w:rPr>
          <w:lang w:val="en-US"/>
        </w:rPr>
      </w:pPr>
      <w:r w:rsidRPr="0083409F">
        <w:rPr>
          <w:lang w:val="en-US"/>
        </w:rPr>
        <w:t xml:space="preserve">As from </w:t>
      </w:r>
      <w:r w:rsidR="004D2472">
        <w:rPr>
          <w:lang w:val="en-US"/>
        </w:rPr>
        <w:t>this point</w:t>
      </w:r>
      <w:r w:rsidRPr="0083409F">
        <w:rPr>
          <w:lang w:val="en-US"/>
        </w:rPr>
        <w:t xml:space="preserve">, </w:t>
      </w:r>
      <w:r w:rsidR="00C96BD8">
        <w:rPr>
          <w:lang w:val="en-US"/>
        </w:rPr>
        <w:t xml:space="preserve">the </w:t>
      </w:r>
      <w:r w:rsidRPr="0083409F">
        <w:rPr>
          <w:lang w:val="en-US"/>
        </w:rPr>
        <w:t xml:space="preserve">requesting party is a Terminal User and can become a Participant under this TCSW. </w:t>
      </w:r>
    </w:p>
    <w:p w14:paraId="0E6CC589" w14:textId="7D27294E" w:rsidR="001E6200" w:rsidRPr="0083409F" w:rsidRDefault="001E6200" w:rsidP="001E6200">
      <w:pPr>
        <w:pStyle w:val="Heading2"/>
        <w:rPr>
          <w:lang w:val="en-US"/>
        </w:rPr>
      </w:pPr>
      <w:r w:rsidRPr="0083409F">
        <w:rPr>
          <w:lang w:val="en-US"/>
        </w:rPr>
        <w:t>Participat</w:t>
      </w:r>
      <w:r w:rsidR="005E44E2">
        <w:rPr>
          <w:lang w:val="en-US"/>
        </w:rPr>
        <w:t>ing</w:t>
      </w:r>
      <w:r w:rsidRPr="0083409F">
        <w:rPr>
          <w:lang w:val="en-US"/>
        </w:rPr>
        <w:t xml:space="preserve"> to</w:t>
      </w:r>
      <w:r w:rsidR="002D562B" w:rsidRPr="0083409F">
        <w:rPr>
          <w:lang w:val="en-US"/>
        </w:rPr>
        <w:t xml:space="preserve"> the Subscription Window</w:t>
      </w:r>
    </w:p>
    <w:p w14:paraId="3F6E101C" w14:textId="5F5A5D34" w:rsidR="002D562B" w:rsidRPr="0083409F" w:rsidRDefault="002D562B" w:rsidP="002D562B">
      <w:pPr>
        <w:jc w:val="both"/>
        <w:rPr>
          <w:lang w:val="en-US"/>
        </w:rPr>
      </w:pPr>
      <w:r w:rsidRPr="0083409F">
        <w:rPr>
          <w:lang w:val="en-US"/>
        </w:rPr>
        <w:t>Any Terminal User becomes a Participant under this Subscription Window as from the moment such Terminal User submits</w:t>
      </w:r>
      <w:r w:rsidR="008104B9" w:rsidRPr="0083409F">
        <w:rPr>
          <w:lang w:val="en-US"/>
        </w:rPr>
        <w:t>,</w:t>
      </w:r>
      <w:r w:rsidRPr="0083409F">
        <w:rPr>
          <w:lang w:val="en-US"/>
        </w:rPr>
        <w:t xml:space="preserve"> before the Closing </w:t>
      </w:r>
      <w:r w:rsidR="00F96193">
        <w:rPr>
          <w:lang w:val="en-US"/>
        </w:rPr>
        <w:t>Time</w:t>
      </w:r>
      <w:r w:rsidR="008104B9" w:rsidRPr="0083409F">
        <w:rPr>
          <w:lang w:val="en-US"/>
        </w:rPr>
        <w:t xml:space="preserve">, </w:t>
      </w:r>
      <w:r w:rsidRPr="0083409F">
        <w:rPr>
          <w:lang w:val="en-US"/>
        </w:rPr>
        <w:t>a duly completed and signed version of the Service Request Form for Contracting (</w:t>
      </w:r>
      <w:r w:rsidR="008104B9" w:rsidRPr="0083409F">
        <w:rPr>
          <w:lang w:val="en-US"/>
        </w:rPr>
        <w:t>“</w:t>
      </w:r>
      <w:r w:rsidRPr="0083409F">
        <w:rPr>
          <w:lang w:val="en-US"/>
        </w:rPr>
        <w:t>SRFC</w:t>
      </w:r>
      <w:r w:rsidR="008104B9" w:rsidRPr="0083409F">
        <w:rPr>
          <w:lang w:val="en-US"/>
        </w:rPr>
        <w:t>”</w:t>
      </w:r>
      <w:r w:rsidRPr="0083409F">
        <w:rPr>
          <w:lang w:val="en-US"/>
        </w:rPr>
        <w:t>)</w:t>
      </w:r>
      <w:r w:rsidR="008104B9" w:rsidRPr="0083409F">
        <w:rPr>
          <w:lang w:val="en-US"/>
        </w:rPr>
        <w:t xml:space="preserve"> to Terminal Operator (</w:t>
      </w:r>
      <w:r w:rsidR="008104B9" w:rsidRPr="001F1EE4">
        <w:rPr>
          <w:lang w:val="en-US"/>
        </w:rPr>
        <w:t>see Annex 1</w:t>
      </w:r>
      <w:r w:rsidR="008104B9" w:rsidRPr="0083409F">
        <w:rPr>
          <w:lang w:val="en-US"/>
        </w:rPr>
        <w:t>)</w:t>
      </w:r>
      <w:r w:rsidRPr="0083409F">
        <w:rPr>
          <w:lang w:val="en-US"/>
        </w:rPr>
        <w:t xml:space="preserve">. </w:t>
      </w:r>
    </w:p>
    <w:p w14:paraId="7C6CEA18" w14:textId="56FF2DA7" w:rsidR="002D562B" w:rsidRPr="0083409F" w:rsidRDefault="002D562B" w:rsidP="002D562B">
      <w:pPr>
        <w:jc w:val="both"/>
        <w:rPr>
          <w:lang w:val="en-US"/>
        </w:rPr>
      </w:pPr>
      <w:r w:rsidRPr="0083409F">
        <w:rPr>
          <w:lang w:val="en-US"/>
        </w:rPr>
        <w:t>Please note that only one (1) Affiliate may participate to the Subscription Window. If it appears that two or more Affiliate</w:t>
      </w:r>
      <w:r w:rsidR="00CC0192">
        <w:rPr>
          <w:lang w:val="en-US"/>
        </w:rPr>
        <w:t>s</w:t>
      </w:r>
      <w:r w:rsidRPr="0083409F">
        <w:rPr>
          <w:lang w:val="en-US"/>
        </w:rPr>
        <w:t xml:space="preserve"> (intend to) take part in the Subscription Window, Terminal Operator will exclude all concerned Affiliate</w:t>
      </w:r>
      <w:r w:rsidR="002379E2">
        <w:rPr>
          <w:lang w:val="en-US"/>
        </w:rPr>
        <w:t>s</w:t>
      </w:r>
      <w:r w:rsidRPr="0083409F">
        <w:rPr>
          <w:lang w:val="en-US"/>
        </w:rPr>
        <w:t xml:space="preserve"> from this Subscription Window, except the first one having sent a Binding Request.</w:t>
      </w:r>
    </w:p>
    <w:p w14:paraId="132D887C" w14:textId="55E4C286" w:rsidR="29A3351D" w:rsidRDefault="002D562B" w:rsidP="29A3351D">
      <w:pPr>
        <w:jc w:val="both"/>
        <w:rPr>
          <w:lang w:val="en-US"/>
        </w:rPr>
      </w:pPr>
      <w:r w:rsidRPr="29A3351D">
        <w:rPr>
          <w:lang w:val="en-US"/>
        </w:rPr>
        <w:t xml:space="preserve">A Participant may simultaneously submit its Binding Request with its request for an LNG </w:t>
      </w:r>
      <w:r w:rsidR="00E22576" w:rsidRPr="29A3351D">
        <w:rPr>
          <w:lang w:val="en-US"/>
        </w:rPr>
        <w:t>Services</w:t>
      </w:r>
      <w:r w:rsidRPr="29A3351D">
        <w:rPr>
          <w:lang w:val="en-US"/>
        </w:rPr>
        <w:t xml:space="preserve"> Agreement, but such Binding Request will only be considered as a valid Binding Request if a version of the Agreement signed by the Terminal User authorized representatives is returned to Terminal Operator before the Closing </w:t>
      </w:r>
      <w:r w:rsidR="00E22576" w:rsidRPr="29A3351D">
        <w:rPr>
          <w:lang w:val="en-US"/>
        </w:rPr>
        <w:t>Time</w:t>
      </w:r>
      <w:r w:rsidRPr="29A3351D">
        <w:rPr>
          <w:lang w:val="en-US"/>
        </w:rPr>
        <w:t xml:space="preserve"> of the Subscription Window.</w:t>
      </w:r>
    </w:p>
    <w:p w14:paraId="16F0757A" w14:textId="4D8E2D2B" w:rsidR="0078068A" w:rsidRPr="0083409F" w:rsidRDefault="0078068A" w:rsidP="0078068A">
      <w:pPr>
        <w:pStyle w:val="Heading2"/>
        <w:rPr>
          <w:lang w:val="en-US"/>
        </w:rPr>
      </w:pPr>
      <w:r w:rsidRPr="0083409F">
        <w:rPr>
          <w:lang w:val="en-US"/>
        </w:rPr>
        <w:t>Submitting a Bi</w:t>
      </w:r>
      <w:r w:rsidR="00ED1B6E">
        <w:rPr>
          <w:lang w:val="en-US"/>
        </w:rPr>
        <w:t>n</w:t>
      </w:r>
      <w:r w:rsidRPr="0083409F">
        <w:rPr>
          <w:lang w:val="en-US"/>
        </w:rPr>
        <w:t>ding Request</w:t>
      </w:r>
    </w:p>
    <w:p w14:paraId="42597F9C" w14:textId="2983237C" w:rsidR="00FC32FA" w:rsidRPr="0083409F" w:rsidRDefault="00C231E5" w:rsidP="00FD3151">
      <w:pPr>
        <w:jc w:val="both"/>
        <w:rPr>
          <w:lang w:val="en-US"/>
        </w:rPr>
      </w:pPr>
      <w:r w:rsidRPr="0083409F">
        <w:rPr>
          <w:lang w:val="en-US"/>
        </w:rPr>
        <w:t xml:space="preserve">During the Subscription Window, a Participant can submit a Binding Request for contracting </w:t>
      </w:r>
      <w:r w:rsidR="00E22576">
        <w:rPr>
          <w:lang w:val="en-US"/>
        </w:rPr>
        <w:t>lot(s) of Slots</w:t>
      </w:r>
      <w:r w:rsidR="00B4630E" w:rsidRPr="0083409F">
        <w:rPr>
          <w:lang w:val="en-US"/>
        </w:rPr>
        <w:t xml:space="preserve"> by submitting a duly completed and signed SRFC, </w:t>
      </w:r>
      <w:r w:rsidR="00B4630E" w:rsidRPr="001F1EE4">
        <w:rPr>
          <w:lang w:val="en-US"/>
        </w:rPr>
        <w:t xml:space="preserve">as available in Annex </w:t>
      </w:r>
      <w:r w:rsidR="002046C0" w:rsidRPr="001F1EE4">
        <w:rPr>
          <w:lang w:val="en-US"/>
        </w:rPr>
        <w:t>1</w:t>
      </w:r>
      <w:r w:rsidR="002046C0" w:rsidRPr="0083409F">
        <w:rPr>
          <w:lang w:val="en-US"/>
        </w:rPr>
        <w:t>. The request will spe</w:t>
      </w:r>
      <w:r w:rsidR="001C56CD" w:rsidRPr="0083409F">
        <w:rPr>
          <w:lang w:val="en-US"/>
        </w:rPr>
        <w:t>cify:</w:t>
      </w:r>
    </w:p>
    <w:p w14:paraId="0B969C66" w14:textId="306BB160" w:rsidR="00E22576" w:rsidRDefault="00E22576" w:rsidP="00FD3151">
      <w:pPr>
        <w:pStyle w:val="ListParagraph"/>
        <w:numPr>
          <w:ilvl w:val="0"/>
          <w:numId w:val="14"/>
        </w:numPr>
        <w:jc w:val="both"/>
        <w:rPr>
          <w:lang w:val="en-US"/>
        </w:rPr>
      </w:pPr>
      <w:r>
        <w:rPr>
          <w:lang w:val="en-US"/>
        </w:rPr>
        <w:t>The number of lots the Participant wishes to subscribe, i.e. 1 or 2 lot(s)</w:t>
      </w:r>
      <w:r w:rsidR="008573B6">
        <w:rPr>
          <w:lang w:val="en-US"/>
        </w:rPr>
        <w:t xml:space="preserve"> and</w:t>
      </w:r>
    </w:p>
    <w:p w14:paraId="1AE63719" w14:textId="3C8E86FF" w:rsidR="00E22576" w:rsidRDefault="00E22576" w:rsidP="00FD3151">
      <w:pPr>
        <w:pStyle w:val="ListParagraph"/>
        <w:numPr>
          <w:ilvl w:val="0"/>
          <w:numId w:val="14"/>
        </w:numPr>
        <w:jc w:val="both"/>
        <w:rPr>
          <w:lang w:val="en-US"/>
        </w:rPr>
      </w:pPr>
      <w:r>
        <w:rPr>
          <w:lang w:val="en-US"/>
        </w:rPr>
        <w:t xml:space="preserve">The start year </w:t>
      </w:r>
      <w:r w:rsidR="008573B6">
        <w:rPr>
          <w:lang w:val="en-US"/>
        </w:rPr>
        <w:t xml:space="preserve">and end year </w:t>
      </w:r>
      <w:r>
        <w:rPr>
          <w:lang w:val="en-US"/>
        </w:rPr>
        <w:t>of the</w:t>
      </w:r>
      <w:r w:rsidR="008573B6">
        <w:rPr>
          <w:lang w:val="en-US"/>
        </w:rPr>
        <w:t xml:space="preserve"> requested</w:t>
      </w:r>
      <w:r>
        <w:rPr>
          <w:lang w:val="en-US"/>
        </w:rPr>
        <w:t xml:space="preserve"> lot(s) </w:t>
      </w:r>
    </w:p>
    <w:p w14:paraId="2F2AE8E1" w14:textId="7B413B8E" w:rsidR="00E22576" w:rsidRPr="00E22576" w:rsidRDefault="00E22576" w:rsidP="00E22576">
      <w:pPr>
        <w:jc w:val="both"/>
        <w:rPr>
          <w:lang w:val="en-US"/>
        </w:rPr>
      </w:pPr>
      <w:r>
        <w:rPr>
          <w:lang w:val="en-US"/>
        </w:rPr>
        <w:t>Participants</w:t>
      </w:r>
      <w:r w:rsidR="0028087A">
        <w:rPr>
          <w:lang w:val="en-US"/>
        </w:rPr>
        <w:t xml:space="preserve"> also</w:t>
      </w:r>
      <w:r>
        <w:rPr>
          <w:lang w:val="en-US"/>
        </w:rPr>
        <w:t xml:space="preserve"> have the possibility (but not the obligation) to specify in their SRFC</w:t>
      </w:r>
    </w:p>
    <w:p w14:paraId="233A43FA" w14:textId="3111360F" w:rsidR="00E22576" w:rsidRDefault="00E22576" w:rsidP="00FD3151">
      <w:pPr>
        <w:pStyle w:val="ListParagraph"/>
        <w:numPr>
          <w:ilvl w:val="0"/>
          <w:numId w:val="14"/>
        </w:numPr>
        <w:jc w:val="both"/>
        <w:rPr>
          <w:lang w:val="en-US"/>
        </w:rPr>
      </w:pPr>
      <w:r>
        <w:rPr>
          <w:lang w:val="en-US"/>
        </w:rPr>
        <w:t xml:space="preserve">The Minimum Request, i.e. the </w:t>
      </w:r>
      <w:r w:rsidR="00BD4642">
        <w:rPr>
          <w:lang w:val="en-US"/>
        </w:rPr>
        <w:t xml:space="preserve">minimal number of lots </w:t>
      </w:r>
      <w:r>
        <w:rPr>
          <w:lang w:val="en-US"/>
        </w:rPr>
        <w:t>below which the Participant is not interested in subscribing the Services</w:t>
      </w:r>
      <w:r w:rsidR="005E44E2">
        <w:rPr>
          <w:lang w:val="en-US"/>
        </w:rPr>
        <w:t>;</w:t>
      </w:r>
      <w:r>
        <w:rPr>
          <w:lang w:val="en-US"/>
        </w:rPr>
        <w:t xml:space="preserve"> </w:t>
      </w:r>
      <w:r w:rsidR="00D1024A" w:rsidRPr="0083409F">
        <w:rPr>
          <w:lang w:val="en-US"/>
        </w:rPr>
        <w:t xml:space="preserve"> </w:t>
      </w:r>
    </w:p>
    <w:p w14:paraId="6B8A603B" w14:textId="756C037F" w:rsidR="00041B93" w:rsidRDefault="002E463F" w:rsidP="00FD3151">
      <w:pPr>
        <w:pStyle w:val="ListParagraph"/>
        <w:numPr>
          <w:ilvl w:val="0"/>
          <w:numId w:val="14"/>
        </w:numPr>
        <w:jc w:val="both"/>
        <w:rPr>
          <w:lang w:val="en-US"/>
        </w:rPr>
      </w:pPr>
      <w:r>
        <w:rPr>
          <w:lang w:val="en-US"/>
        </w:rPr>
        <w:t>The</w:t>
      </w:r>
      <w:r w:rsidR="005E44E2">
        <w:rPr>
          <w:lang w:val="en-US"/>
        </w:rPr>
        <w:t xml:space="preserve"> premium (</w:t>
      </w:r>
      <w:r w:rsidR="005E44E2" w:rsidRPr="00C87E2E">
        <w:rPr>
          <w:b/>
          <w:bCs/>
          <w:lang w:val="en-US"/>
        </w:rPr>
        <w:t>in €/Slot</w:t>
      </w:r>
      <w:r w:rsidR="005E44E2">
        <w:rPr>
          <w:lang w:val="en-US"/>
        </w:rPr>
        <w:t xml:space="preserve">) the Participant is ready to pay </w:t>
      </w:r>
      <w:r w:rsidR="005E44E2" w:rsidRPr="00C1459D">
        <w:rPr>
          <w:b/>
          <w:bCs/>
          <w:lang w:val="en-US"/>
        </w:rPr>
        <w:t>on top of the Regulated Tariff for each Slot</w:t>
      </w:r>
      <w:r w:rsidR="0073075C" w:rsidRPr="0083409F">
        <w:rPr>
          <w:lang w:val="en-US"/>
        </w:rPr>
        <w:t>.</w:t>
      </w:r>
      <w:r w:rsidR="005E44E2">
        <w:rPr>
          <w:lang w:val="en-US"/>
        </w:rPr>
        <w:t xml:space="preserve"> Such premium will only be used in case a one-step auction is needed to perform the allocation (see </w:t>
      </w:r>
      <w:r w:rsidR="0043138F">
        <w:rPr>
          <w:highlight w:val="yellow"/>
          <w:lang w:val="en-US"/>
        </w:rPr>
        <w:fldChar w:fldCharType="begin"/>
      </w:r>
      <w:r w:rsidR="0043138F">
        <w:rPr>
          <w:lang w:val="en-US"/>
        </w:rPr>
        <w:instrText xml:space="preserve"> REF _Ref163826093 \r \h </w:instrText>
      </w:r>
      <w:r w:rsidR="0043138F">
        <w:rPr>
          <w:highlight w:val="yellow"/>
          <w:lang w:val="en-US"/>
        </w:rPr>
      </w:r>
      <w:r w:rsidR="0043138F">
        <w:rPr>
          <w:highlight w:val="yellow"/>
          <w:lang w:val="en-US"/>
        </w:rPr>
        <w:fldChar w:fldCharType="separate"/>
      </w:r>
      <w:r w:rsidR="0043138F">
        <w:rPr>
          <w:lang w:val="en-US"/>
        </w:rPr>
        <w:t>5.1</w:t>
      </w:r>
      <w:r w:rsidR="0043138F">
        <w:rPr>
          <w:highlight w:val="yellow"/>
          <w:lang w:val="en-US"/>
        </w:rPr>
        <w:fldChar w:fldCharType="end"/>
      </w:r>
      <w:r w:rsidR="005E44E2">
        <w:rPr>
          <w:lang w:val="en-US"/>
        </w:rPr>
        <w:t xml:space="preserve">). </w:t>
      </w:r>
      <w:r w:rsidR="0026264F">
        <w:rPr>
          <w:lang w:val="en-US"/>
        </w:rPr>
        <w:t>In this case</w:t>
      </w:r>
      <w:r w:rsidR="004C6F1E">
        <w:rPr>
          <w:lang w:val="en-US"/>
        </w:rPr>
        <w:t xml:space="preserve">, </w:t>
      </w:r>
      <w:r w:rsidR="00277123">
        <w:rPr>
          <w:lang w:val="en-US"/>
        </w:rPr>
        <w:t>the</w:t>
      </w:r>
      <w:r w:rsidR="00FD0292">
        <w:rPr>
          <w:lang w:val="en-US"/>
        </w:rPr>
        <w:t xml:space="preserve"> resulting</w:t>
      </w:r>
      <w:r w:rsidR="004C6F1E">
        <w:rPr>
          <w:lang w:val="en-US"/>
        </w:rPr>
        <w:t xml:space="preserve"> premium will apply to </w:t>
      </w:r>
      <w:r w:rsidR="00D41CD9">
        <w:rPr>
          <w:lang w:val="en-US"/>
        </w:rPr>
        <w:t>every</w:t>
      </w:r>
      <w:r w:rsidR="004C6F1E">
        <w:rPr>
          <w:lang w:val="en-US"/>
        </w:rPr>
        <w:t xml:space="preserve"> Slot of the allocated lot. </w:t>
      </w:r>
      <w:r w:rsidR="005E44E2">
        <w:rPr>
          <w:lang w:val="en-US"/>
        </w:rPr>
        <w:t>In all other cases, this premium will be discarded.</w:t>
      </w:r>
    </w:p>
    <w:p w14:paraId="371C269C" w14:textId="54FB8E58" w:rsidR="00FE4237" w:rsidRPr="00FE4237" w:rsidRDefault="00D76788" w:rsidP="00EF390B">
      <w:pPr>
        <w:jc w:val="both"/>
        <w:rPr>
          <w:lang w:val="en-US"/>
        </w:rPr>
      </w:pPr>
      <w:r w:rsidRPr="29A3351D">
        <w:rPr>
          <w:lang w:val="en-US"/>
        </w:rPr>
        <w:t xml:space="preserve">By default, a value of “0” will be considered </w:t>
      </w:r>
      <w:r w:rsidR="00686756" w:rsidRPr="29A3351D">
        <w:rPr>
          <w:lang w:val="en-US"/>
        </w:rPr>
        <w:t xml:space="preserve">for these two optional parameters. </w:t>
      </w:r>
    </w:p>
    <w:p w14:paraId="26640DC7" w14:textId="5AE10107" w:rsidR="003906B9" w:rsidRPr="0083409F" w:rsidRDefault="007B6A69" w:rsidP="00FD3151">
      <w:pPr>
        <w:jc w:val="both"/>
        <w:rPr>
          <w:lang w:val="en-US"/>
        </w:rPr>
      </w:pPr>
      <w:r w:rsidRPr="0083409F">
        <w:rPr>
          <w:lang w:val="en-US"/>
        </w:rPr>
        <w:t xml:space="preserve">The Binding Request containing the SRFC shall be sent by </w:t>
      </w:r>
      <w:r w:rsidR="00045DE4" w:rsidRPr="0083409F">
        <w:rPr>
          <w:lang w:val="en-US"/>
        </w:rPr>
        <w:t xml:space="preserve">email to </w:t>
      </w:r>
      <w:hyperlink r:id="rId17" w:history="1">
        <w:r w:rsidR="00045DE4" w:rsidRPr="0083409F">
          <w:rPr>
            <w:rStyle w:val="Hyperlink"/>
            <w:lang w:val="en-US"/>
          </w:rPr>
          <w:t>info.lng@fluxys.com</w:t>
        </w:r>
      </w:hyperlink>
      <w:r w:rsidR="00045DE4" w:rsidRPr="0083409F">
        <w:rPr>
          <w:lang w:val="en-US"/>
        </w:rPr>
        <w:t>.</w:t>
      </w:r>
      <w:r w:rsidR="00542FCF">
        <w:rPr>
          <w:lang w:val="en-US"/>
        </w:rPr>
        <w:t xml:space="preserve"> </w:t>
      </w:r>
      <w:r w:rsidR="003906B9">
        <w:rPr>
          <w:lang w:val="en-US"/>
        </w:rPr>
        <w:t xml:space="preserve">Participant </w:t>
      </w:r>
      <w:r w:rsidR="003906B9" w:rsidRPr="00806302">
        <w:rPr>
          <w:lang w:val="en-US"/>
        </w:rPr>
        <w:t xml:space="preserve">may change </w:t>
      </w:r>
      <w:r w:rsidR="00542FCF">
        <w:rPr>
          <w:lang w:val="en-US"/>
        </w:rPr>
        <w:t>its</w:t>
      </w:r>
      <w:r w:rsidR="003906B9" w:rsidRPr="00806302">
        <w:rPr>
          <w:lang w:val="en-US"/>
        </w:rPr>
        <w:t xml:space="preserve"> </w:t>
      </w:r>
      <w:r w:rsidR="003906B9">
        <w:rPr>
          <w:lang w:val="en-US"/>
        </w:rPr>
        <w:t>Binding Request</w:t>
      </w:r>
      <w:r w:rsidR="003906B9" w:rsidRPr="00806302">
        <w:rPr>
          <w:lang w:val="en-US"/>
        </w:rPr>
        <w:t xml:space="preserve"> by sending an adjusted </w:t>
      </w:r>
      <w:r w:rsidR="003906B9">
        <w:rPr>
          <w:lang w:val="en-US"/>
        </w:rPr>
        <w:t>SRFC</w:t>
      </w:r>
      <w:r w:rsidR="003906B9" w:rsidRPr="00806302">
        <w:rPr>
          <w:lang w:val="en-US"/>
        </w:rPr>
        <w:t xml:space="preserve"> that will overwrite and substitute the previous </w:t>
      </w:r>
      <w:r w:rsidR="003906B9">
        <w:rPr>
          <w:lang w:val="en-US"/>
        </w:rPr>
        <w:t>SRFC</w:t>
      </w:r>
      <w:r w:rsidR="003906B9" w:rsidRPr="00806302">
        <w:rPr>
          <w:lang w:val="en-US"/>
        </w:rPr>
        <w:t xml:space="preserve">. Once the </w:t>
      </w:r>
      <w:r w:rsidR="00012ABC">
        <w:rPr>
          <w:lang w:val="en-US"/>
        </w:rPr>
        <w:t xml:space="preserve">Closing Time </w:t>
      </w:r>
      <w:r w:rsidR="003906B9" w:rsidRPr="00806302">
        <w:rPr>
          <w:lang w:val="en-US"/>
        </w:rPr>
        <w:t xml:space="preserve">is reached, no (new) </w:t>
      </w:r>
      <w:r w:rsidR="00012ABC">
        <w:rPr>
          <w:lang w:val="en-US"/>
        </w:rPr>
        <w:t>Binding Request</w:t>
      </w:r>
      <w:r w:rsidR="003906B9" w:rsidRPr="00806302">
        <w:rPr>
          <w:lang w:val="en-US"/>
        </w:rPr>
        <w:t xml:space="preserve"> can be submitted and the </w:t>
      </w:r>
      <w:r w:rsidR="00AF4769">
        <w:rPr>
          <w:lang w:val="en-US"/>
        </w:rPr>
        <w:t>last Binding Request</w:t>
      </w:r>
      <w:r w:rsidR="003906B9" w:rsidRPr="00806302">
        <w:rPr>
          <w:lang w:val="en-US"/>
        </w:rPr>
        <w:t xml:space="preserve"> </w:t>
      </w:r>
      <w:r w:rsidR="00AF4769">
        <w:rPr>
          <w:lang w:val="en-US"/>
        </w:rPr>
        <w:t>a</w:t>
      </w:r>
      <w:r w:rsidR="003906B9" w:rsidRPr="00806302">
        <w:rPr>
          <w:lang w:val="en-US"/>
        </w:rPr>
        <w:t xml:space="preserve">ccepted by </w:t>
      </w:r>
      <w:r w:rsidR="00AF4769">
        <w:rPr>
          <w:lang w:val="en-US"/>
        </w:rPr>
        <w:t>Terminal</w:t>
      </w:r>
      <w:r w:rsidR="003906B9" w:rsidRPr="00806302">
        <w:rPr>
          <w:lang w:val="en-US"/>
        </w:rPr>
        <w:t xml:space="preserve"> Operator will be considered.</w:t>
      </w:r>
    </w:p>
    <w:p w14:paraId="1C9F7A33" w14:textId="798932A9" w:rsidR="00045DE4" w:rsidRPr="0083409F" w:rsidRDefault="00045DE4" w:rsidP="00045DE4">
      <w:pPr>
        <w:pStyle w:val="Heading2"/>
        <w:rPr>
          <w:lang w:val="en-US"/>
        </w:rPr>
      </w:pPr>
      <w:r w:rsidRPr="0083409F">
        <w:rPr>
          <w:lang w:val="en-US"/>
        </w:rPr>
        <w:lastRenderedPageBreak/>
        <w:t>Evaluation of the Binding Request</w:t>
      </w:r>
    </w:p>
    <w:p w14:paraId="60F1235F" w14:textId="614BC391" w:rsidR="00FD3151" w:rsidRPr="0083409F" w:rsidRDefault="00FD3151" w:rsidP="00FD3151">
      <w:pPr>
        <w:jc w:val="both"/>
        <w:rPr>
          <w:lang w:val="en-US"/>
        </w:rPr>
      </w:pPr>
      <w:r w:rsidRPr="0083409F">
        <w:rPr>
          <w:lang w:val="en-US"/>
        </w:rPr>
        <w:t>Terminal Operator shall evaluate whether the SRFC submitted by the Participant is duly completed and as the case may be</w:t>
      </w:r>
      <w:r w:rsidR="19A6650C" w:rsidRPr="659C085F">
        <w:rPr>
          <w:lang w:val="en-US"/>
        </w:rPr>
        <w:t xml:space="preserve"> </w:t>
      </w:r>
      <w:r w:rsidR="19A6650C" w:rsidRPr="047A6AC1">
        <w:rPr>
          <w:lang w:val="en-US"/>
        </w:rPr>
        <w:t>shall</w:t>
      </w:r>
      <w:r w:rsidRPr="0083409F">
        <w:rPr>
          <w:lang w:val="en-US"/>
        </w:rPr>
        <w:t>:</w:t>
      </w:r>
    </w:p>
    <w:p w14:paraId="4EE3D2DF" w14:textId="2062E004" w:rsidR="00995EB3" w:rsidRPr="00995EB3" w:rsidRDefault="00995EB3" w:rsidP="00995EB3">
      <w:pPr>
        <w:pStyle w:val="ListParagraph"/>
        <w:numPr>
          <w:ilvl w:val="0"/>
          <w:numId w:val="15"/>
        </w:numPr>
        <w:jc w:val="both"/>
        <w:rPr>
          <w:lang w:val="en-US"/>
        </w:rPr>
      </w:pPr>
      <w:r w:rsidRPr="00995EB3">
        <w:rPr>
          <w:lang w:val="en-US"/>
        </w:rPr>
        <w:t>accept the SRFC to be a Binding Request; or</w:t>
      </w:r>
    </w:p>
    <w:p w14:paraId="263DB3A2" w14:textId="77777777" w:rsidR="00A60A77" w:rsidRDefault="00995EB3" w:rsidP="00995EB3">
      <w:pPr>
        <w:pStyle w:val="ListParagraph"/>
        <w:numPr>
          <w:ilvl w:val="0"/>
          <w:numId w:val="15"/>
        </w:numPr>
        <w:jc w:val="both"/>
        <w:rPr>
          <w:lang w:val="en-US"/>
        </w:rPr>
      </w:pPr>
      <w:r w:rsidRPr="00995EB3">
        <w:rPr>
          <w:lang w:val="en-US"/>
        </w:rPr>
        <w:t>in case of missing information, require from the Participant an adapted SRFC replacing the previous SRFC; any Binding Request received by Terminal Operator after the above-mentioned Closing Time shall automatically be excluded from this Subscription Window; or</w:t>
      </w:r>
    </w:p>
    <w:p w14:paraId="73810F59" w14:textId="26AF1823" w:rsidR="001E1A1E" w:rsidRPr="0083409F" w:rsidRDefault="007E15F3" w:rsidP="00995EB3">
      <w:pPr>
        <w:pStyle w:val="ListParagraph"/>
        <w:numPr>
          <w:ilvl w:val="0"/>
          <w:numId w:val="15"/>
        </w:numPr>
        <w:jc w:val="both"/>
        <w:rPr>
          <w:lang w:val="en-US"/>
        </w:rPr>
      </w:pPr>
      <w:r w:rsidRPr="007E15F3">
        <w:rPr>
          <w:lang w:val="en-US"/>
        </w:rPr>
        <w:t>when it has reasonable grounds to suspect that accepting the SRFC could pose a significant risk to the security of supply of Belgium and/or of the European Union, refer the submitted SRFC to the Government Authority competent for security of supply (the “Competent Authority”*) for a binding decision on whether accepting such SRFC could pose a significant risk to the security of supply interests of Belgium and/or of the European Union; should the Competent Authority come to the conclusion that an acceptance of the SRFC could pose a significant risk to the security of supply interests of Belgium and/or of the European Union, Terminal Operator shall then refuse the SRFC as a Binding Request; absent such a decision of the Competent Authority within 3 business days of the referral to this authority of the submitted SRFC, Terminal Operator shall accept the SRFC to be a Binding Request.</w:t>
      </w:r>
    </w:p>
    <w:p w14:paraId="008A3323" w14:textId="540A0DDF" w:rsidR="00B72C1A" w:rsidRDefault="00064632" w:rsidP="003B5A84">
      <w:pPr>
        <w:jc w:val="both"/>
        <w:rPr>
          <w:lang w:val="en-US"/>
        </w:rPr>
      </w:pPr>
      <w:r w:rsidRPr="00064632">
        <w:rPr>
          <w:lang w:val="en-US"/>
        </w:rPr>
        <w:t>Terminal Operator shall in no way be responsible or held liable for any damages suffered by the Participant in the event Terminal Operator does not accept the Binding Request of the Participant because of either (i) an incomplete SRFC or (ii) a decision of the Competent Authority that accepting the Binding Request could pose a significant risk to the security of supply interests of Belgium and/or of the European Union.</w:t>
      </w:r>
    </w:p>
    <w:p w14:paraId="3B7329C3" w14:textId="3E35EE11" w:rsidR="00064632" w:rsidRPr="00064632" w:rsidRDefault="00064632" w:rsidP="003B5A84">
      <w:pPr>
        <w:jc w:val="both"/>
        <w:rPr>
          <w:sz w:val="18"/>
          <w:szCs w:val="20"/>
          <w:lang w:val="en-US"/>
        </w:rPr>
      </w:pPr>
      <w:r w:rsidRPr="00064632">
        <w:rPr>
          <w:sz w:val="18"/>
          <w:szCs w:val="20"/>
          <w:lang w:val="en-US"/>
        </w:rPr>
        <w:t>* Federal Minister in charge of Energy, upon advice of the DG Energy of the Federal Public Service Economic Affairs</w:t>
      </w:r>
    </w:p>
    <w:p w14:paraId="495C0B0A" w14:textId="257FD4B5" w:rsidR="008779E1" w:rsidRPr="0083409F" w:rsidRDefault="00B72C1A" w:rsidP="008779E1">
      <w:pPr>
        <w:pStyle w:val="Heading1"/>
      </w:pPr>
      <w:bookmarkStart w:id="0" w:name="_Ref163749028"/>
      <w:r w:rsidRPr="0083409F">
        <w:t>Allocation Process</w:t>
      </w:r>
      <w:bookmarkEnd w:id="0"/>
    </w:p>
    <w:p w14:paraId="6404E773" w14:textId="59C38809" w:rsidR="00B72C1A" w:rsidRPr="0083409F" w:rsidRDefault="00B72C1A" w:rsidP="00B72C1A">
      <w:pPr>
        <w:pStyle w:val="Heading2"/>
      </w:pPr>
      <w:bookmarkStart w:id="1" w:name="_Allocation_Rules"/>
      <w:bookmarkStart w:id="2" w:name="_Ref163826093"/>
      <w:bookmarkEnd w:id="1"/>
      <w:r w:rsidRPr="0083409F">
        <w:t>Allocation Rules</w:t>
      </w:r>
      <w:bookmarkEnd w:id="2"/>
    </w:p>
    <w:p w14:paraId="33237849" w14:textId="1250CC3F" w:rsidR="00B35884" w:rsidRPr="0083409F" w:rsidRDefault="002E463F" w:rsidP="00B35884">
      <w:pPr>
        <w:jc w:val="both"/>
      </w:pPr>
      <w:r>
        <w:t>In line with Article 2.2 of the ACL, t</w:t>
      </w:r>
      <w:r w:rsidR="00B35884" w:rsidRPr="0083409F">
        <w:t xml:space="preserve">he </w:t>
      </w:r>
      <w:r w:rsidR="005130A6">
        <w:t>two</w:t>
      </w:r>
      <w:r w:rsidR="00B35884" w:rsidRPr="0083409F">
        <w:t xml:space="preserve"> </w:t>
      </w:r>
      <w:r>
        <w:t>lots</w:t>
      </w:r>
      <w:r w:rsidR="005130A6">
        <w:t xml:space="preserve"> on offer</w:t>
      </w:r>
      <w:r w:rsidR="00B35884" w:rsidRPr="0083409F">
        <w:t xml:space="preserve"> </w:t>
      </w:r>
      <w:r>
        <w:t xml:space="preserve">will be allocated </w:t>
      </w:r>
      <w:r w:rsidR="00B35884" w:rsidRPr="0083409F">
        <w:t xml:space="preserve">as follows: </w:t>
      </w:r>
    </w:p>
    <w:p w14:paraId="6F905D19" w14:textId="09E1CC57" w:rsidR="00B35884" w:rsidRPr="0083409F" w:rsidRDefault="009F0BCB" w:rsidP="00B35884">
      <w:pPr>
        <w:pStyle w:val="ListParagraph"/>
        <w:numPr>
          <w:ilvl w:val="0"/>
          <w:numId w:val="16"/>
        </w:numPr>
        <w:jc w:val="both"/>
      </w:pPr>
      <w:r>
        <w:t>If the total</w:t>
      </w:r>
      <w:r w:rsidR="009F6667">
        <w:t xml:space="preserve"> </w:t>
      </w:r>
      <w:r>
        <w:t xml:space="preserve">demand for lots is equal to or lower than </w:t>
      </w:r>
      <w:r w:rsidR="00472830">
        <w:t xml:space="preserve">the offered </w:t>
      </w:r>
      <w:r w:rsidR="009D161C">
        <w:t>S</w:t>
      </w:r>
      <w:r w:rsidR="00472830">
        <w:t>ervices</w:t>
      </w:r>
      <w:r>
        <w:t xml:space="preserve">, each Participant will </w:t>
      </w:r>
      <w:r w:rsidR="00C94D2D">
        <w:t>be allocated</w:t>
      </w:r>
      <w:r>
        <w:t xml:space="preserve"> its requested quantity</w:t>
      </w:r>
      <w:r w:rsidR="00B35884" w:rsidRPr="0083409F">
        <w:t xml:space="preserve">; </w:t>
      </w:r>
    </w:p>
    <w:p w14:paraId="7C9EF1F9" w14:textId="60483FF5" w:rsidR="009F0BCB" w:rsidRDefault="009F0BCB" w:rsidP="00B35884">
      <w:pPr>
        <w:pStyle w:val="ListParagraph"/>
        <w:numPr>
          <w:ilvl w:val="0"/>
          <w:numId w:val="16"/>
        </w:numPr>
        <w:jc w:val="both"/>
      </w:pPr>
      <w:r>
        <w:t>If the total</w:t>
      </w:r>
      <w:r w:rsidR="007F750A">
        <w:t xml:space="preserve"> </w:t>
      </w:r>
      <w:r>
        <w:t xml:space="preserve">demand for lots is higher than </w:t>
      </w:r>
      <w:r w:rsidR="007F750A">
        <w:t xml:space="preserve">the offered </w:t>
      </w:r>
      <w:r w:rsidR="009D161C">
        <w:t>S</w:t>
      </w:r>
      <w:r w:rsidR="007F750A">
        <w:t>ervices</w:t>
      </w:r>
      <w:r w:rsidR="007A4FB9">
        <w:t xml:space="preserve">, the following criteria will be </w:t>
      </w:r>
      <w:r w:rsidR="007A4FB9" w:rsidRPr="0051651C">
        <w:rPr>
          <w:u w:val="single"/>
        </w:rPr>
        <w:t>sequentially</w:t>
      </w:r>
      <w:r w:rsidR="007A4FB9">
        <w:t xml:space="preserve"> applied</w:t>
      </w:r>
      <w:r>
        <w:t>:</w:t>
      </w:r>
    </w:p>
    <w:p w14:paraId="1F07F52D" w14:textId="12B870C2" w:rsidR="009F0BCB" w:rsidRDefault="009F0BCB" w:rsidP="009F0BCB">
      <w:pPr>
        <w:pStyle w:val="ListParagraph"/>
        <w:numPr>
          <w:ilvl w:val="1"/>
          <w:numId w:val="16"/>
        </w:numPr>
        <w:jc w:val="both"/>
      </w:pPr>
      <w:r>
        <w:t>Priority will be given to Binding Requests with the longest duration</w:t>
      </w:r>
      <w:r w:rsidR="00D32C02">
        <w:t xml:space="preserve">. </w:t>
      </w:r>
      <w:r w:rsidR="00563A36">
        <w:t xml:space="preserve">Given the </w:t>
      </w:r>
      <w:r w:rsidR="002445C5">
        <w:t xml:space="preserve">earliest start date of the offered </w:t>
      </w:r>
      <w:r w:rsidR="00410047">
        <w:t>lots</w:t>
      </w:r>
      <w:r w:rsidR="002445C5">
        <w:t xml:space="preserve"> is April 2027, 2027 will only count for 9 months when computing this duration</w:t>
      </w:r>
      <w:r>
        <w:t>;</w:t>
      </w:r>
    </w:p>
    <w:p w14:paraId="064B5774" w14:textId="45F13925" w:rsidR="00C21B14" w:rsidRDefault="00B35884" w:rsidP="0072228C">
      <w:pPr>
        <w:pStyle w:val="ListParagraph"/>
        <w:numPr>
          <w:ilvl w:val="1"/>
          <w:numId w:val="16"/>
        </w:numPr>
        <w:ind w:left="1434" w:hanging="357"/>
        <w:jc w:val="both"/>
      </w:pPr>
      <w:r w:rsidRPr="0083409F">
        <w:t>If</w:t>
      </w:r>
      <w:r w:rsidR="009F0BCB">
        <w:t xml:space="preserve"> several Participants have the same duration, a pro-rata allocation</w:t>
      </w:r>
      <w:r w:rsidR="00CF68CC">
        <w:t xml:space="preserve"> of the offered lot</w:t>
      </w:r>
      <w:r w:rsidR="005D0282">
        <w:t>(</w:t>
      </w:r>
      <w:r w:rsidR="00CF68CC">
        <w:t>s</w:t>
      </w:r>
      <w:r w:rsidR="005D0282">
        <w:t>)</w:t>
      </w:r>
      <w:r w:rsidR="009F0BCB">
        <w:t xml:space="preserve"> will be performed</w:t>
      </w:r>
      <w:r w:rsidR="00C86F71">
        <w:t xml:space="preserve"> amongst them</w:t>
      </w:r>
      <w:r w:rsidR="009F0BCB">
        <w:t>. When computing the pro-</w:t>
      </w:r>
      <w:r w:rsidR="009F0BCB">
        <w:lastRenderedPageBreak/>
        <w:t>rata quantities, decimal numbers will be rounded to the nearest integer number</w:t>
      </w:r>
      <w:r w:rsidR="009F0BCB">
        <w:rPr>
          <w:rStyle w:val="FootnoteReference"/>
        </w:rPr>
        <w:footnoteReference w:id="3"/>
      </w:r>
      <w:r w:rsidR="006162C8">
        <w:t>. If the application of the pro-rata allocation results in a number of lot(s) allocated to a Participant which is less than its Minimum Request, no lot(s) will be allocated to this Participant</w:t>
      </w:r>
      <w:r w:rsidR="00C21B14">
        <w:t>.</w:t>
      </w:r>
    </w:p>
    <w:p w14:paraId="3696E60D" w14:textId="5A519E75" w:rsidR="009F0BCB" w:rsidRDefault="00C21B14" w:rsidP="0072228C">
      <w:pPr>
        <w:pStyle w:val="ListParagraph"/>
        <w:ind w:left="1440"/>
        <w:jc w:val="both"/>
      </w:pPr>
      <w:r>
        <w:t xml:space="preserve">For the </w:t>
      </w:r>
      <w:r w:rsidR="00223277">
        <w:t>sake of clarity</w:t>
      </w:r>
      <w:r>
        <w:t xml:space="preserve">, pro-rata quantities for each </w:t>
      </w:r>
      <w:r w:rsidR="00400627">
        <w:t xml:space="preserve">Participant </w:t>
      </w:r>
      <w:r w:rsidR="0044338F">
        <w:t>are</w:t>
      </w:r>
      <w:r w:rsidR="00400627">
        <w:t xml:space="preserve"> computed as </w:t>
      </w:r>
      <w:r w:rsidR="00494D86">
        <w:t>“</w:t>
      </w:r>
      <w:r w:rsidR="00ED72E3">
        <w:t>requested number of lots</w:t>
      </w:r>
      <w:r w:rsidR="00494D86">
        <w:t xml:space="preserve"> x (</w:t>
      </w:r>
      <w:r w:rsidR="003138D0">
        <w:t xml:space="preserve">number of </w:t>
      </w:r>
      <w:r w:rsidR="00DF45A0">
        <w:t>offered</w:t>
      </w:r>
      <w:r w:rsidR="003138D0">
        <w:t xml:space="preserve"> lot</w:t>
      </w:r>
      <w:r w:rsidR="001E7FDF">
        <w:t>s</w:t>
      </w:r>
      <w:r w:rsidR="00DF45A0">
        <w:rPr>
          <w:rStyle w:val="FootnoteReference"/>
        </w:rPr>
        <w:footnoteReference w:id="4"/>
      </w:r>
      <w:r w:rsidR="003138D0">
        <w:t xml:space="preserve"> / total</w:t>
      </w:r>
      <w:r w:rsidR="00ED72E3">
        <w:t xml:space="preserve"> requested number of lots)</w:t>
      </w:r>
      <w:r w:rsidR="0072228C">
        <w:t>;</w:t>
      </w:r>
      <w:r w:rsidR="003138D0">
        <w:t xml:space="preserve"> </w:t>
      </w:r>
    </w:p>
    <w:p w14:paraId="3B65C55E" w14:textId="3389ED57" w:rsidR="002541CB" w:rsidRDefault="009F0BCB" w:rsidP="009F0BCB">
      <w:pPr>
        <w:pStyle w:val="ListParagraph"/>
        <w:numPr>
          <w:ilvl w:val="1"/>
          <w:numId w:val="16"/>
        </w:numPr>
        <w:jc w:val="both"/>
      </w:pPr>
      <w:r>
        <w:t xml:space="preserve">If </w:t>
      </w:r>
      <w:r w:rsidR="002541CB">
        <w:t>the pro-rata allocation leads to a</w:t>
      </w:r>
      <w:r w:rsidR="00173C6D">
        <w:t xml:space="preserve"> partial </w:t>
      </w:r>
      <w:r w:rsidR="00356689">
        <w:t xml:space="preserve">allocation </w:t>
      </w:r>
      <w:r w:rsidR="00173C6D">
        <w:t>or no</w:t>
      </w:r>
      <w:r w:rsidR="002541CB">
        <w:t xml:space="preserve"> allocation</w:t>
      </w:r>
      <w:r w:rsidR="00356689">
        <w:t xml:space="preserve"> at all</w:t>
      </w:r>
      <w:r w:rsidR="002541CB">
        <w:t xml:space="preserve">, priority will be given to Binding Requests with the earliest start </w:t>
      </w:r>
      <w:r w:rsidR="00BA57C0">
        <w:t>year</w:t>
      </w:r>
      <w:r w:rsidR="002541CB">
        <w:t>;</w:t>
      </w:r>
    </w:p>
    <w:p w14:paraId="610AA01A" w14:textId="1E05D051" w:rsidR="000F5677" w:rsidRDefault="00901D99" w:rsidP="00C94D2D">
      <w:pPr>
        <w:pStyle w:val="ListParagraph"/>
        <w:numPr>
          <w:ilvl w:val="1"/>
          <w:numId w:val="16"/>
        </w:numPr>
        <w:jc w:val="both"/>
      </w:pPr>
      <w:r>
        <w:t xml:space="preserve">If the previously mentioned criteria </w:t>
      </w:r>
      <w:r w:rsidR="00B9373E">
        <w:t xml:space="preserve">do not result in a complete allocation of the Services, a one-step auction will be used as a final differentiating factor. Participants with the highest pro-rata quantities (after rounding) </w:t>
      </w:r>
      <w:r w:rsidR="00DD0CFB">
        <w:t xml:space="preserve">who </w:t>
      </w:r>
      <w:r w:rsidR="00C934D9">
        <w:t xml:space="preserve">have not </w:t>
      </w:r>
      <w:r w:rsidR="00236906">
        <w:t xml:space="preserve">been allocated capacity </w:t>
      </w:r>
      <w:r w:rsidR="00DD0CFB">
        <w:t>based on the previous criteria will be includ</w:t>
      </w:r>
      <w:r w:rsidR="00D20169">
        <w:t xml:space="preserve">ed in this auction. </w:t>
      </w:r>
    </w:p>
    <w:p w14:paraId="4D337C77" w14:textId="229F4258" w:rsidR="00B35884" w:rsidRDefault="00FC74EB" w:rsidP="00F2178E">
      <w:pPr>
        <w:pStyle w:val="ListParagraph"/>
        <w:ind w:left="1440"/>
        <w:jc w:val="both"/>
      </w:pPr>
      <w:r>
        <w:t xml:space="preserve">If a lot </w:t>
      </w:r>
      <w:r w:rsidR="00445A7F">
        <w:t>has</w:t>
      </w:r>
      <w:r>
        <w:t xml:space="preserve"> already </w:t>
      </w:r>
      <w:r w:rsidR="00445A7F">
        <w:t xml:space="preserve">been </w:t>
      </w:r>
      <w:r>
        <w:t xml:space="preserve">allocated </w:t>
      </w:r>
      <w:r w:rsidR="005077AF">
        <w:t>previously, the remaining lot will be allocated</w:t>
      </w:r>
      <w:r w:rsidR="000F5677">
        <w:t xml:space="preserve"> to </w:t>
      </w:r>
      <w:r w:rsidR="005F2B57">
        <w:t xml:space="preserve">the </w:t>
      </w:r>
      <w:r w:rsidR="000F5677">
        <w:t>Participant with the highest premium on Slot</w:t>
      </w:r>
      <w:r w:rsidR="006650D5">
        <w:t xml:space="preserve"> price (see 4.3)</w:t>
      </w:r>
      <w:r w:rsidR="005077AF">
        <w:t>.</w:t>
      </w:r>
      <w:r w:rsidR="007B12D5">
        <w:t xml:space="preserve"> If both lots are still available, the lots will be allocated to the </w:t>
      </w:r>
      <w:r w:rsidR="00E83578">
        <w:t xml:space="preserve">two </w:t>
      </w:r>
      <w:r w:rsidR="007B12D5">
        <w:t xml:space="preserve">Participants with the </w:t>
      </w:r>
      <w:r w:rsidR="00E83578">
        <w:t>highest premia on Slot price</w:t>
      </w:r>
      <w:r w:rsidR="00445A7F">
        <w:t>.</w:t>
      </w:r>
    </w:p>
    <w:p w14:paraId="56964139" w14:textId="4B8B0762" w:rsidR="009618DF" w:rsidRPr="0083409F" w:rsidRDefault="009618DF" w:rsidP="00FB41A4">
      <w:pPr>
        <w:pStyle w:val="ListParagraph"/>
        <w:ind w:left="1440"/>
        <w:jc w:val="both"/>
      </w:pPr>
      <w:r>
        <w:t>I</w:t>
      </w:r>
      <w:r w:rsidR="00A11DD5">
        <w:t xml:space="preserve">f one or several lot(s) </w:t>
      </w:r>
      <w:r w:rsidR="00A1415F">
        <w:t>cannot</w:t>
      </w:r>
      <w:r w:rsidR="00A11DD5">
        <w:t xml:space="preserve"> be allocated because</w:t>
      </w:r>
      <w:r w:rsidR="0077562D">
        <w:t xml:space="preserve"> two or more </w:t>
      </w:r>
      <w:r w:rsidR="00DC361F">
        <w:t>Participants</w:t>
      </w:r>
      <w:r w:rsidR="0077562D">
        <w:t xml:space="preserve"> indicated the same premium on Slot price</w:t>
      </w:r>
      <w:r w:rsidR="00A11DD5">
        <w:t>, Terminal Operator will contac</w:t>
      </w:r>
      <w:r w:rsidR="00CA0632">
        <w:t>t</w:t>
      </w:r>
      <w:r w:rsidR="00A11DD5">
        <w:t xml:space="preserve"> the</w:t>
      </w:r>
      <w:r w:rsidR="00DC361F">
        <w:t>se Participa</w:t>
      </w:r>
      <w:r w:rsidR="00954ACF">
        <w:t xml:space="preserve">nts </w:t>
      </w:r>
      <w:r w:rsidR="0009492A">
        <w:t xml:space="preserve">on </w:t>
      </w:r>
      <w:r w:rsidR="002D1241">
        <w:t>2</w:t>
      </w:r>
      <w:r w:rsidR="002D1241" w:rsidRPr="002D1241">
        <w:rPr>
          <w:vertAlign w:val="superscript"/>
        </w:rPr>
        <w:t>nd</w:t>
      </w:r>
      <w:r w:rsidR="002D1241">
        <w:t xml:space="preserve"> July </w:t>
      </w:r>
      <w:r w:rsidR="00FE2DC4">
        <w:t xml:space="preserve">2024 </w:t>
      </w:r>
      <w:r w:rsidR="005A59EB">
        <w:t>at</w:t>
      </w:r>
      <w:r w:rsidR="00FE2DC4">
        <w:t xml:space="preserve"> </w:t>
      </w:r>
      <w:r w:rsidR="005A59EB">
        <w:t>2</w:t>
      </w:r>
      <w:r w:rsidR="00FE2DC4">
        <w:t>pm</w:t>
      </w:r>
      <w:r w:rsidR="00CA0632">
        <w:t xml:space="preserve"> </w:t>
      </w:r>
      <w:r w:rsidR="00954ACF">
        <w:t xml:space="preserve">and request them to send an updated </w:t>
      </w:r>
      <w:r w:rsidR="00F61FF6">
        <w:t>Binding Request</w:t>
      </w:r>
      <w:r w:rsidR="00954ACF">
        <w:t xml:space="preserve"> containing their best and final </w:t>
      </w:r>
      <w:r w:rsidR="00500213">
        <w:t>premium on Slot price</w:t>
      </w:r>
      <w:r w:rsidR="00A11DD5">
        <w:t xml:space="preserve"> </w:t>
      </w:r>
      <w:r w:rsidR="001B238C" w:rsidRPr="0051138C">
        <w:t>within the next 24 hours</w:t>
      </w:r>
      <w:r w:rsidR="001B238C">
        <w:t>.</w:t>
      </w:r>
      <w:r w:rsidR="00500213">
        <w:t xml:space="preserve"> </w:t>
      </w:r>
      <w:r w:rsidR="00922FA1">
        <w:t>Priority for the allocation will then be given to the highest best and final premium on Slot price</w:t>
      </w:r>
      <w:r w:rsidR="00500213">
        <w:t>.</w:t>
      </w:r>
      <w:r w:rsidR="001B238C">
        <w:t xml:space="preserve"> </w:t>
      </w:r>
    </w:p>
    <w:p w14:paraId="772BA351" w14:textId="564FFA04" w:rsidR="00BB229E" w:rsidRPr="0083409F" w:rsidRDefault="00770892" w:rsidP="00FB41A4">
      <w:pPr>
        <w:pStyle w:val="ListParagraph"/>
        <w:ind w:left="1440"/>
        <w:jc w:val="both"/>
      </w:pPr>
      <w:r>
        <w:t>Note that if both lots are all</w:t>
      </w:r>
      <w:r w:rsidR="00D11C0F">
        <w:t xml:space="preserve">ocated through this one-step auction, the price of the Services </w:t>
      </w:r>
      <w:r w:rsidR="00D339E7">
        <w:t xml:space="preserve">will be equal to the sum of the Regulated Tariff and the lowest premium </w:t>
      </w:r>
      <w:r w:rsidR="6A29E043">
        <w:t>w</w:t>
      </w:r>
      <w:r w:rsidR="6F843306">
        <w:t>h</w:t>
      </w:r>
      <w:r w:rsidR="6A29E043">
        <w:t>i</w:t>
      </w:r>
      <w:r w:rsidR="4BA90F6C">
        <w:t>ch</w:t>
      </w:r>
      <w:r w:rsidR="00D339E7">
        <w:t xml:space="preserve"> led to allocation of Services.</w:t>
      </w:r>
    </w:p>
    <w:p w14:paraId="1A5A6942" w14:textId="1A9AC739" w:rsidR="00B61AB0" w:rsidRPr="0083409F" w:rsidRDefault="00B35884" w:rsidP="00B35884">
      <w:pPr>
        <w:jc w:val="both"/>
      </w:pPr>
      <w:r w:rsidRPr="0083409F">
        <w:t xml:space="preserve">In case </w:t>
      </w:r>
      <w:r w:rsidR="00A414EC">
        <w:t>capacity</w:t>
      </w:r>
      <w:r w:rsidR="00C94D2D">
        <w:t xml:space="preserve"> is</w:t>
      </w:r>
      <w:r w:rsidRPr="0083409F">
        <w:t xml:space="preserve"> still available after th</w:t>
      </w:r>
      <w:r w:rsidR="00C94D2D">
        <w:t>is</w:t>
      </w:r>
      <w:r w:rsidRPr="0083409F">
        <w:t xml:space="preserve"> Subscription Window, </w:t>
      </w:r>
      <w:r w:rsidR="00A27AB2">
        <w:t xml:space="preserve">Terminal Operator will </w:t>
      </w:r>
      <w:r w:rsidR="0043138F">
        <w:t>launch an Auction Window to sell the remaining Services within 10 weeks following the end of the Subscription Window</w:t>
      </w:r>
      <w:r w:rsidR="00A27AB2">
        <w:t xml:space="preserve">. </w:t>
      </w:r>
    </w:p>
    <w:p w14:paraId="2948F632" w14:textId="080A6ACA" w:rsidR="00276808" w:rsidRPr="0083409F" w:rsidRDefault="00276808" w:rsidP="00276808">
      <w:pPr>
        <w:pStyle w:val="Heading2"/>
      </w:pPr>
      <w:r w:rsidRPr="0083409F">
        <w:t>Allocation Results</w:t>
      </w:r>
    </w:p>
    <w:p w14:paraId="70F7DC5E" w14:textId="6E6458F2" w:rsidR="00276808" w:rsidRDefault="006C7E3D" w:rsidP="006C7E3D">
      <w:pPr>
        <w:jc w:val="both"/>
        <w:rPr>
          <w:lang w:val="en-US"/>
        </w:rPr>
      </w:pPr>
      <w:r w:rsidRPr="0083409F">
        <w:rPr>
          <w:lang w:val="en-US"/>
        </w:rPr>
        <w:t>Terminal Operator will confirm the results of the allocation procedure to the Participants</w:t>
      </w:r>
      <w:r w:rsidR="00EB3D74">
        <w:rPr>
          <w:lang w:val="en-US"/>
        </w:rPr>
        <w:t xml:space="preserve"> on </w:t>
      </w:r>
      <w:r w:rsidR="001A765F">
        <w:rPr>
          <w:lang w:val="en-US"/>
        </w:rPr>
        <w:t>5</w:t>
      </w:r>
      <w:r w:rsidR="004412C1" w:rsidRPr="004412C1">
        <w:rPr>
          <w:vertAlign w:val="superscript"/>
          <w:lang w:val="en-US"/>
        </w:rPr>
        <w:t>th</w:t>
      </w:r>
      <w:r w:rsidR="004412C1" w:rsidRPr="004412C1">
        <w:rPr>
          <w:lang w:val="en-US"/>
        </w:rPr>
        <w:t xml:space="preserve"> July</w:t>
      </w:r>
      <w:r w:rsidR="00EB3D74" w:rsidRPr="004412C1">
        <w:rPr>
          <w:lang w:val="en-US"/>
        </w:rPr>
        <w:t xml:space="preserve"> 2024</w:t>
      </w:r>
      <w:r w:rsidR="004412C1" w:rsidRPr="004412C1">
        <w:rPr>
          <w:lang w:val="en-US"/>
        </w:rPr>
        <w:t xml:space="preserve"> at</w:t>
      </w:r>
      <w:r w:rsidR="00EB3D74" w:rsidRPr="004412C1">
        <w:rPr>
          <w:lang w:val="en-US"/>
        </w:rPr>
        <w:t xml:space="preserve"> </w:t>
      </w:r>
      <w:r w:rsidR="00FF27E7">
        <w:rPr>
          <w:lang w:val="en-US"/>
        </w:rPr>
        <w:t>2pm</w:t>
      </w:r>
      <w:r w:rsidR="00EB3D74">
        <w:rPr>
          <w:lang w:val="en-US"/>
        </w:rPr>
        <w:t xml:space="preserve"> at the latest</w:t>
      </w:r>
      <w:r w:rsidR="00C94D2D">
        <w:rPr>
          <w:lang w:val="en-US"/>
        </w:rPr>
        <w:t>.</w:t>
      </w:r>
    </w:p>
    <w:p w14:paraId="3C4BF1CE" w14:textId="77777777" w:rsidR="00E23490" w:rsidRDefault="00E23490" w:rsidP="00E23490">
      <w:pPr>
        <w:pStyle w:val="Heading2"/>
        <w:rPr>
          <w:lang w:val="en-US"/>
        </w:rPr>
      </w:pPr>
      <w:r>
        <w:rPr>
          <w:lang w:val="en-US"/>
        </w:rPr>
        <w:lastRenderedPageBreak/>
        <w:t>Cancellation by Terminal Operator</w:t>
      </w:r>
    </w:p>
    <w:p w14:paraId="48884440" w14:textId="1D62DC43" w:rsidR="00E23490" w:rsidRPr="0083409F" w:rsidRDefault="00E23490" w:rsidP="00E23490">
      <w:pPr>
        <w:jc w:val="both"/>
        <w:rPr>
          <w:lang w:val="en-US"/>
        </w:rPr>
      </w:pPr>
      <w:r>
        <w:rPr>
          <w:lang w:val="en-US"/>
        </w:rPr>
        <w:t xml:space="preserve">Terminal Operator may at any time prior, during, or after the Subscription Window cancel the Subscription Window without any notice or indemnity, in particular but without limitation, in the event the </w:t>
      </w:r>
      <w:r w:rsidR="00ED4BF3">
        <w:rPr>
          <w:lang w:val="en-US"/>
        </w:rPr>
        <w:t>o</w:t>
      </w:r>
      <w:r>
        <w:rPr>
          <w:lang w:val="en-US"/>
        </w:rPr>
        <w:t>ffered LNG Services cannot be fully allocated.</w:t>
      </w:r>
    </w:p>
    <w:p w14:paraId="34D12408" w14:textId="2EEBA55D" w:rsidR="00A56A20" w:rsidRPr="0083409F" w:rsidRDefault="00A56A20" w:rsidP="00A56A20">
      <w:pPr>
        <w:pStyle w:val="Heading2"/>
        <w:rPr>
          <w:lang w:val="en-US"/>
        </w:rPr>
      </w:pPr>
      <w:r w:rsidRPr="0083409F">
        <w:rPr>
          <w:lang w:val="en-US"/>
        </w:rPr>
        <w:t>Performance of the Offered Services</w:t>
      </w:r>
    </w:p>
    <w:p w14:paraId="1C81D3B5" w14:textId="660D253C" w:rsidR="002509B5" w:rsidRPr="0083409F" w:rsidRDefault="002509B5" w:rsidP="002509B5">
      <w:pPr>
        <w:jc w:val="both"/>
        <w:rPr>
          <w:lang w:val="en-US"/>
        </w:rPr>
      </w:pPr>
      <w:r w:rsidRPr="0083409F">
        <w:rPr>
          <w:lang w:val="en-US"/>
        </w:rPr>
        <w:t xml:space="preserve">The submission of a Binding Request constitutes a legally binding offer on the part of the Participant which, for </w:t>
      </w:r>
      <w:r w:rsidR="00C94D2D">
        <w:rPr>
          <w:lang w:val="en-US"/>
        </w:rPr>
        <w:t>the lot(s)</w:t>
      </w:r>
      <w:r w:rsidRPr="0083409F">
        <w:rPr>
          <w:lang w:val="en-US"/>
        </w:rPr>
        <w:t xml:space="preserve"> </w:t>
      </w:r>
      <w:r w:rsidR="00A27AB2">
        <w:rPr>
          <w:lang w:val="en-US"/>
        </w:rPr>
        <w:t xml:space="preserve">he has been </w:t>
      </w:r>
      <w:r w:rsidRPr="0083409F">
        <w:rPr>
          <w:lang w:val="en-US"/>
        </w:rPr>
        <w:t xml:space="preserve">allocated pursuant to and in accordance with this TCSW, shall be a legally binding commitment on Participant’s part, governed by the </w:t>
      </w:r>
      <w:r w:rsidR="00E23490">
        <w:rPr>
          <w:lang w:val="en-US"/>
        </w:rPr>
        <w:t xml:space="preserve">LNG Services </w:t>
      </w:r>
      <w:r w:rsidRPr="0083409F">
        <w:rPr>
          <w:lang w:val="en-US"/>
        </w:rPr>
        <w:t xml:space="preserve">Agreement and the ACL. </w:t>
      </w:r>
    </w:p>
    <w:p w14:paraId="3BA38D56" w14:textId="7F494666" w:rsidR="002509B5" w:rsidRPr="0083409F" w:rsidRDefault="002509B5" w:rsidP="002509B5">
      <w:pPr>
        <w:jc w:val="both"/>
        <w:rPr>
          <w:lang w:val="en-US"/>
        </w:rPr>
      </w:pPr>
      <w:r w:rsidRPr="0083409F">
        <w:rPr>
          <w:lang w:val="en-US"/>
        </w:rPr>
        <w:t>In case Participant has been allocated</w:t>
      </w:r>
      <w:r w:rsidR="00C94D2D">
        <w:rPr>
          <w:lang w:val="en-US"/>
        </w:rPr>
        <w:t xml:space="preserve"> cap</w:t>
      </w:r>
      <w:r w:rsidR="00A27AB2">
        <w:rPr>
          <w:lang w:val="en-US"/>
        </w:rPr>
        <w:t>acity</w:t>
      </w:r>
      <w:r w:rsidRPr="0083409F">
        <w:rPr>
          <w:lang w:val="en-US"/>
        </w:rPr>
        <w:t xml:space="preserve">, Participant shall pay the </w:t>
      </w:r>
      <w:r w:rsidR="00A27AB2">
        <w:rPr>
          <w:lang w:val="en-US"/>
        </w:rPr>
        <w:t xml:space="preserve">applicable </w:t>
      </w:r>
      <w:r w:rsidR="00E23490">
        <w:rPr>
          <w:lang w:val="en-US"/>
        </w:rPr>
        <w:t>T</w:t>
      </w:r>
      <w:r w:rsidRPr="0083409F">
        <w:rPr>
          <w:lang w:val="en-US"/>
        </w:rPr>
        <w:t xml:space="preserve">ariff for </w:t>
      </w:r>
      <w:r w:rsidR="00A27AB2">
        <w:rPr>
          <w:lang w:val="en-US"/>
        </w:rPr>
        <w:t xml:space="preserve">the </w:t>
      </w:r>
      <w:r w:rsidRPr="0083409F">
        <w:rPr>
          <w:lang w:val="en-US"/>
        </w:rPr>
        <w:t>allocated services.</w:t>
      </w:r>
    </w:p>
    <w:p w14:paraId="4A5E606A" w14:textId="4F7C39EB" w:rsidR="005F35EB" w:rsidRDefault="002509B5" w:rsidP="002509B5">
      <w:pPr>
        <w:jc w:val="both"/>
        <w:rPr>
          <w:lang w:val="en-US"/>
        </w:rPr>
      </w:pPr>
      <w:r w:rsidRPr="0083409F">
        <w:rPr>
          <w:lang w:val="en-US"/>
        </w:rPr>
        <w:t xml:space="preserve">Terminal Operator shall only be obliged to perform the </w:t>
      </w:r>
      <w:r w:rsidR="00A27AB2">
        <w:rPr>
          <w:lang w:val="en-US"/>
        </w:rPr>
        <w:t>Slots</w:t>
      </w:r>
      <w:r w:rsidRPr="0083409F">
        <w:rPr>
          <w:lang w:val="en-US"/>
        </w:rPr>
        <w:t xml:space="preserve"> during the Service Duration of the Service Confirmation if Participant has duly completed the Service Confirmation for Contracting (as defined in the </w:t>
      </w:r>
      <w:r w:rsidR="00E23490">
        <w:rPr>
          <w:lang w:val="en-US"/>
        </w:rPr>
        <w:t xml:space="preserve">LNG Services </w:t>
      </w:r>
      <w:r w:rsidRPr="0083409F">
        <w:rPr>
          <w:lang w:val="en-US"/>
        </w:rPr>
        <w:t>Agreement).</w:t>
      </w:r>
    </w:p>
    <w:p w14:paraId="44B7924C" w14:textId="1FFF30D4" w:rsidR="002509B5" w:rsidRPr="0083409F" w:rsidRDefault="002509B5" w:rsidP="002509B5">
      <w:pPr>
        <w:pStyle w:val="Heading1"/>
        <w:rPr>
          <w:lang w:val="en-US"/>
        </w:rPr>
      </w:pPr>
      <w:r w:rsidRPr="0083409F">
        <w:rPr>
          <w:lang w:val="en-US"/>
        </w:rPr>
        <w:t>Other provisions</w:t>
      </w:r>
    </w:p>
    <w:p w14:paraId="67E5BE60" w14:textId="7165CA2B" w:rsidR="002509B5" w:rsidRPr="0083409F" w:rsidRDefault="00376C64" w:rsidP="008A389B">
      <w:pPr>
        <w:pStyle w:val="Heading2"/>
        <w:rPr>
          <w:lang w:val="en-US"/>
        </w:rPr>
      </w:pPr>
      <w:r w:rsidRPr="0083409F">
        <w:rPr>
          <w:lang w:val="en-US"/>
        </w:rPr>
        <w:t>Representation and Warranties by the Participant</w:t>
      </w:r>
    </w:p>
    <w:p w14:paraId="6C37A832" w14:textId="18F95525" w:rsidR="00F373A1" w:rsidRPr="0083409F" w:rsidRDefault="00376C64" w:rsidP="00F373A1">
      <w:pPr>
        <w:jc w:val="both"/>
        <w:rPr>
          <w:lang w:val="en-US"/>
        </w:rPr>
      </w:pPr>
      <w:r w:rsidRPr="0083409F">
        <w:rPr>
          <w:lang w:val="en-US"/>
        </w:rPr>
        <w:t xml:space="preserve">In addition to article </w:t>
      </w:r>
      <w:r w:rsidR="00844A44">
        <w:rPr>
          <w:lang w:val="en-US"/>
        </w:rPr>
        <w:t>9</w:t>
      </w:r>
      <w:r w:rsidRPr="0083409F">
        <w:rPr>
          <w:lang w:val="en-US"/>
        </w:rPr>
        <w:t xml:space="preserve"> of attachment B of the</w:t>
      </w:r>
      <w:r w:rsidR="00844A44">
        <w:rPr>
          <w:lang w:val="en-US"/>
        </w:rPr>
        <w:t xml:space="preserve"> LSA</w:t>
      </w:r>
      <w:r w:rsidR="00F373A1" w:rsidRPr="0083409F">
        <w:rPr>
          <w:lang w:val="en-US"/>
        </w:rPr>
        <w:t>,</w:t>
      </w:r>
      <w:r w:rsidRPr="0083409F">
        <w:rPr>
          <w:lang w:val="en-US"/>
        </w:rPr>
        <w:t xml:space="preserve"> the Participant warrants that:</w:t>
      </w:r>
    </w:p>
    <w:p w14:paraId="5DD5C012" w14:textId="77777777" w:rsidR="00F373A1" w:rsidRPr="0083409F" w:rsidRDefault="00376C64" w:rsidP="00F373A1">
      <w:pPr>
        <w:pStyle w:val="ListParagraph"/>
        <w:numPr>
          <w:ilvl w:val="0"/>
          <w:numId w:val="17"/>
        </w:numPr>
        <w:jc w:val="both"/>
        <w:rPr>
          <w:lang w:val="en-US"/>
        </w:rPr>
      </w:pPr>
      <w:r w:rsidRPr="0083409F">
        <w:rPr>
          <w:lang w:val="en-US"/>
        </w:rPr>
        <w:t xml:space="preserve">It determines independently its participation in the Subscription Window, without any contact with a competitor as to the frequency and the level of its Binding Request. </w:t>
      </w:r>
    </w:p>
    <w:p w14:paraId="72FB1850" w14:textId="6E73717D" w:rsidR="00F373A1" w:rsidRPr="0083409F" w:rsidRDefault="00376C64" w:rsidP="00F373A1">
      <w:pPr>
        <w:pStyle w:val="ListParagraph"/>
        <w:numPr>
          <w:ilvl w:val="0"/>
          <w:numId w:val="17"/>
        </w:numPr>
        <w:jc w:val="both"/>
        <w:rPr>
          <w:lang w:val="en-US"/>
        </w:rPr>
      </w:pPr>
      <w:r w:rsidRPr="0083409F">
        <w:rPr>
          <w:lang w:val="en-US"/>
        </w:rPr>
        <w:t xml:space="preserve">The Participant is aware of the prohibitions set by article 101 and 102 of the Treaty on the functioning of the European Union and article IV.1 and IV.2 of the Belgian Code de droit </w:t>
      </w:r>
      <w:proofErr w:type="spellStart"/>
      <w:r w:rsidRPr="0083409F">
        <w:rPr>
          <w:lang w:val="en-US"/>
        </w:rPr>
        <w:t>économique</w:t>
      </w:r>
      <w:proofErr w:type="spellEnd"/>
      <w:r w:rsidRPr="0083409F">
        <w:rPr>
          <w:lang w:val="en-US"/>
        </w:rPr>
        <w:t xml:space="preserve"> / </w:t>
      </w:r>
      <w:proofErr w:type="spellStart"/>
      <w:r w:rsidRPr="0083409F">
        <w:rPr>
          <w:lang w:val="en-US"/>
        </w:rPr>
        <w:t>Wetboek</w:t>
      </w:r>
      <w:proofErr w:type="spellEnd"/>
      <w:r w:rsidRPr="0083409F">
        <w:rPr>
          <w:lang w:val="en-US"/>
        </w:rPr>
        <w:t xml:space="preserve"> van </w:t>
      </w:r>
      <w:proofErr w:type="spellStart"/>
      <w:r w:rsidRPr="0083409F">
        <w:rPr>
          <w:lang w:val="en-US"/>
        </w:rPr>
        <w:t>economisch</w:t>
      </w:r>
      <w:proofErr w:type="spellEnd"/>
      <w:r w:rsidRPr="0083409F">
        <w:rPr>
          <w:lang w:val="en-US"/>
        </w:rPr>
        <w:t xml:space="preserve"> </w:t>
      </w:r>
      <w:proofErr w:type="spellStart"/>
      <w:r w:rsidRPr="0083409F">
        <w:rPr>
          <w:lang w:val="en-US"/>
        </w:rPr>
        <w:t>recht</w:t>
      </w:r>
      <w:proofErr w:type="spellEnd"/>
      <w:r w:rsidRPr="0083409F">
        <w:rPr>
          <w:lang w:val="en-US"/>
        </w:rPr>
        <w:t>.</w:t>
      </w:r>
    </w:p>
    <w:p w14:paraId="06975A01" w14:textId="77777777" w:rsidR="00F373A1" w:rsidRPr="0083409F" w:rsidRDefault="00376C64" w:rsidP="00F373A1">
      <w:pPr>
        <w:pStyle w:val="ListParagraph"/>
        <w:numPr>
          <w:ilvl w:val="0"/>
          <w:numId w:val="17"/>
        </w:numPr>
        <w:jc w:val="both"/>
        <w:rPr>
          <w:lang w:val="en-US"/>
        </w:rPr>
      </w:pPr>
      <w:r w:rsidRPr="0083409F">
        <w:rPr>
          <w:lang w:val="en-US"/>
        </w:rPr>
        <w:t>It has not already sold, even on a conditional basis, the capacity which is being awarded through the Subscription Window;</w:t>
      </w:r>
    </w:p>
    <w:p w14:paraId="34E88740" w14:textId="1ADC0ACF" w:rsidR="00376C64" w:rsidRPr="0083409F" w:rsidRDefault="00376C64" w:rsidP="00F373A1">
      <w:pPr>
        <w:pStyle w:val="ListParagraph"/>
        <w:numPr>
          <w:ilvl w:val="0"/>
          <w:numId w:val="17"/>
        </w:numPr>
        <w:jc w:val="both"/>
        <w:rPr>
          <w:lang w:val="en-US"/>
        </w:rPr>
      </w:pPr>
      <w:r w:rsidRPr="0083409F">
        <w:rPr>
          <w:lang w:val="en-US"/>
        </w:rPr>
        <w:t>The Participant will only submit a Binding Request for capacity pursuant to a bona fide estimate of Participant’s actual needs. The Participant will not engage in hoarding behavior.</w:t>
      </w:r>
    </w:p>
    <w:p w14:paraId="5C0DD199" w14:textId="7748F3E2" w:rsidR="00636A6D" w:rsidRPr="0083409F" w:rsidRDefault="00636A6D" w:rsidP="00636A6D">
      <w:pPr>
        <w:pStyle w:val="Heading2"/>
        <w:rPr>
          <w:lang w:val="en-US"/>
        </w:rPr>
      </w:pPr>
      <w:r w:rsidRPr="0083409F">
        <w:rPr>
          <w:lang w:val="en-US"/>
        </w:rPr>
        <w:t>Languages</w:t>
      </w:r>
    </w:p>
    <w:p w14:paraId="3EA76B31" w14:textId="5E269B40" w:rsidR="00636A6D" w:rsidRPr="0083409F" w:rsidRDefault="00636A6D" w:rsidP="00636A6D">
      <w:pPr>
        <w:jc w:val="both"/>
        <w:rPr>
          <w:lang w:val="en-US"/>
        </w:rPr>
      </w:pPr>
      <w:r w:rsidRPr="0083409F">
        <w:rPr>
          <w:lang w:val="en-US"/>
        </w:rPr>
        <w:t>All communications pertaining to the Subscription Window shall be in the English language only. The convention used for writing numbers in this TCSW is that the space is used to indicate multiples of a thousand and the comma as the decimal point.</w:t>
      </w:r>
    </w:p>
    <w:p w14:paraId="76342A00" w14:textId="20076026" w:rsidR="00FD2773" w:rsidRPr="0083409F" w:rsidRDefault="00FD2773" w:rsidP="00FD2773">
      <w:pPr>
        <w:pStyle w:val="Heading2"/>
        <w:rPr>
          <w:lang w:val="en-US"/>
        </w:rPr>
      </w:pPr>
      <w:r w:rsidRPr="0083409F">
        <w:rPr>
          <w:lang w:val="en-US"/>
        </w:rPr>
        <w:t>Governing Law and disputes</w:t>
      </w:r>
    </w:p>
    <w:p w14:paraId="63AB0A1C" w14:textId="179D7C7B" w:rsidR="00FD2773" w:rsidRDefault="00FD2773" w:rsidP="00FD2773">
      <w:pPr>
        <w:jc w:val="both"/>
        <w:rPr>
          <w:lang w:val="en-US"/>
        </w:rPr>
      </w:pPr>
      <w:r w:rsidRPr="0083409F">
        <w:rPr>
          <w:lang w:val="en-US"/>
        </w:rPr>
        <w:t xml:space="preserve">For the avoidance of doubt, Clause 6 of the LNG </w:t>
      </w:r>
      <w:r w:rsidR="00844A44">
        <w:rPr>
          <w:lang w:val="en-US"/>
        </w:rPr>
        <w:t>Services</w:t>
      </w:r>
      <w:r w:rsidR="00844A44" w:rsidRPr="0083409F">
        <w:rPr>
          <w:lang w:val="en-US"/>
        </w:rPr>
        <w:t xml:space="preserve"> </w:t>
      </w:r>
      <w:r w:rsidRPr="0083409F">
        <w:rPr>
          <w:lang w:val="en-US"/>
        </w:rPr>
        <w:t>Agreement is applicable.</w:t>
      </w:r>
    </w:p>
    <w:p w14:paraId="1C7B2515" w14:textId="3B4A630E" w:rsidR="00BF581A" w:rsidRDefault="00BF581A">
      <w:pPr>
        <w:spacing w:before="200" w:line="259" w:lineRule="auto"/>
        <w:rPr>
          <w:lang w:val="en-US"/>
        </w:rPr>
      </w:pPr>
      <w:r>
        <w:rPr>
          <w:lang w:val="en-US"/>
        </w:rPr>
        <w:br w:type="page"/>
      </w:r>
    </w:p>
    <w:p w14:paraId="2EE33051" w14:textId="77777777" w:rsidR="001F0EDE" w:rsidRDefault="00BF581A" w:rsidP="00FD2773">
      <w:pPr>
        <w:jc w:val="both"/>
        <w:rPr>
          <w:b/>
          <w:bCs/>
          <w:color w:val="15234A" w:themeColor="text2"/>
          <w:sz w:val="44"/>
          <w:szCs w:val="48"/>
          <w:lang w:val="en-US"/>
        </w:rPr>
      </w:pPr>
      <w:r w:rsidRPr="00577AEB">
        <w:rPr>
          <w:b/>
          <w:bCs/>
          <w:color w:val="15234A" w:themeColor="text2"/>
          <w:sz w:val="44"/>
          <w:szCs w:val="48"/>
          <w:lang w:val="en-US"/>
        </w:rPr>
        <w:lastRenderedPageBreak/>
        <w:t>Annex 1</w:t>
      </w:r>
    </w:p>
    <w:p w14:paraId="2FC6F46B" w14:textId="2AB2F80F" w:rsidR="00BF581A" w:rsidRDefault="004D388A" w:rsidP="00FD2773">
      <w:pPr>
        <w:jc w:val="both"/>
        <w:rPr>
          <w:color w:val="15234A" w:themeColor="text2"/>
          <w:sz w:val="32"/>
          <w:szCs w:val="36"/>
          <w:lang w:val="en-US"/>
        </w:rPr>
      </w:pPr>
      <w:r w:rsidRPr="001F0EDE">
        <w:rPr>
          <w:color w:val="15234A" w:themeColor="text2"/>
          <w:sz w:val="32"/>
          <w:szCs w:val="36"/>
          <w:lang w:val="en-US"/>
        </w:rPr>
        <w:t>Service Request Form for Contracting</w:t>
      </w:r>
    </w:p>
    <w:p w14:paraId="4874F8C1" w14:textId="77777777" w:rsidR="00893A85" w:rsidRDefault="00893A85" w:rsidP="00FD2773">
      <w:pPr>
        <w:jc w:val="both"/>
        <w:rPr>
          <w:color w:val="15234A" w:themeColor="text2"/>
          <w:sz w:val="32"/>
          <w:szCs w:val="36"/>
          <w:lang w:val="en-US"/>
        </w:rPr>
      </w:pPr>
    </w:p>
    <w:p w14:paraId="003C8167" w14:textId="35796686" w:rsidR="001F0EDE" w:rsidRPr="001F0EDE" w:rsidRDefault="00893A85" w:rsidP="00FD2773">
      <w:pPr>
        <w:jc w:val="both"/>
        <w:rPr>
          <w:color w:val="15234A" w:themeColor="text2"/>
          <w:sz w:val="32"/>
          <w:szCs w:val="36"/>
          <w:lang w:val="en-US"/>
        </w:rPr>
      </w:pPr>
      <w:r w:rsidRPr="00893A85">
        <w:rPr>
          <w:noProof/>
          <w:color w:val="15234A" w:themeColor="text2"/>
          <w:sz w:val="32"/>
          <w:szCs w:val="36"/>
          <w:lang w:val="en-US"/>
        </w:rPr>
        <w:drawing>
          <wp:inline distT="0" distB="0" distL="0" distR="0" wp14:anchorId="0D5EEAEA" wp14:editId="60841FDE">
            <wp:extent cx="5471511" cy="58585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7427" cy="5875581"/>
                    </a:xfrm>
                    <a:prstGeom prst="rect">
                      <a:avLst/>
                    </a:prstGeom>
                  </pic:spPr>
                </pic:pic>
              </a:graphicData>
            </a:graphic>
          </wp:inline>
        </w:drawing>
      </w:r>
    </w:p>
    <w:sectPr w:rsidR="001F0EDE" w:rsidRPr="001F0EDE" w:rsidSect="00915681">
      <w:footerReference w:type="even" r:id="rId19"/>
      <w:footerReference w:type="default" r:id="rId20"/>
      <w:pgSz w:w="11906" w:h="16838" w:code="9"/>
      <w:pgMar w:top="1440" w:right="1440" w:bottom="1440" w:left="1701"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74CD" w14:textId="77777777" w:rsidR="00BA5151" w:rsidRDefault="00BA5151" w:rsidP="00594391">
      <w:pPr>
        <w:spacing w:before="0"/>
      </w:pPr>
      <w:r>
        <w:separator/>
      </w:r>
    </w:p>
  </w:endnote>
  <w:endnote w:type="continuationSeparator" w:id="0">
    <w:p w14:paraId="0FCC9052" w14:textId="77777777" w:rsidR="00BA5151" w:rsidRDefault="00BA5151" w:rsidP="00594391">
      <w:pPr>
        <w:spacing w:before="0"/>
      </w:pPr>
      <w:r>
        <w:continuationSeparator/>
      </w:r>
    </w:p>
  </w:endnote>
  <w:endnote w:type="continuationNotice" w:id="1">
    <w:p w14:paraId="08638755" w14:textId="77777777" w:rsidR="00BA5151" w:rsidRDefault="00BA51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759F73E6" w14:textId="77777777">
      <w:tc>
        <w:tcPr>
          <w:tcW w:w="2627" w:type="dxa"/>
          <w:tcMar>
            <w:left w:w="0" w:type="dxa"/>
          </w:tcMar>
        </w:tcPr>
        <w:p w14:paraId="50EB4620" w14:textId="77777777" w:rsidR="00594391" w:rsidRPr="0010702D" w:rsidRDefault="00594391">
          <w:pPr>
            <w:pStyle w:val="Footer"/>
            <w:tabs>
              <w:tab w:val="clear" w:pos="4513"/>
              <w:tab w:val="clear" w:pos="9026"/>
            </w:tabs>
            <w:spacing w:before="240"/>
            <w:rPr>
              <w:lang w:val="nl-NL"/>
            </w:rPr>
          </w:pPr>
          <w:bookmarkStart w:id="3" w:name="_Hlk34819932"/>
          <w:r w:rsidRPr="0010702D">
            <w:rPr>
              <w:b/>
              <w:noProof/>
            </w:rPr>
            <w:drawing>
              <wp:anchor distT="0" distB="0" distL="114300" distR="114300" simplePos="0" relativeHeight="251658241" behindDoc="0" locked="0" layoutInCell="1" allowOverlap="1" wp14:anchorId="070C4EF5" wp14:editId="7E3DB5E9">
                <wp:simplePos x="0" y="0"/>
                <wp:positionH relativeFrom="leftMargin">
                  <wp:posOffset>0</wp:posOffset>
                </wp:positionH>
                <wp:positionV relativeFrom="paragraph">
                  <wp:posOffset>45720</wp:posOffset>
                </wp:positionV>
                <wp:extent cx="208800" cy="2520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6CEE218C" w14:textId="77777777" w:rsidR="00594391" w:rsidRPr="0010702D" w:rsidRDefault="00594391">
          <w:pPr>
            <w:pStyle w:val="Footer"/>
            <w:tabs>
              <w:tab w:val="clear" w:pos="4513"/>
              <w:tab w:val="clear" w:pos="9026"/>
            </w:tabs>
            <w:jc w:val="center"/>
            <w:rPr>
              <w:lang w:val="nl-NL"/>
            </w:rPr>
          </w:pPr>
        </w:p>
      </w:tc>
      <w:tc>
        <w:tcPr>
          <w:tcW w:w="2628" w:type="dxa"/>
        </w:tcPr>
        <w:p w14:paraId="0689F598" w14:textId="77777777" w:rsidR="00594391" w:rsidRPr="00394CF8" w:rsidRDefault="00594391">
          <w:pPr>
            <w:pStyle w:val="Footer"/>
            <w:tabs>
              <w:tab w:val="clear" w:pos="4513"/>
              <w:tab w:val="clear" w:pos="9026"/>
            </w:tabs>
            <w:spacing w:before="240"/>
            <w:jc w:val="right"/>
            <w:rPr>
              <w:lang w:val="nl-NL"/>
            </w:rPr>
          </w:pPr>
        </w:p>
      </w:tc>
    </w:tr>
    <w:bookmarkEnd w:id="3"/>
  </w:tbl>
  <w:p w14:paraId="012E3ACA" w14:textId="77777777" w:rsidR="00594391" w:rsidRDefault="0059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4D49A4A6" w14:textId="77777777">
      <w:tc>
        <w:tcPr>
          <w:tcW w:w="2627" w:type="dxa"/>
        </w:tcPr>
        <w:p w14:paraId="2FA8E0BC" w14:textId="77777777" w:rsidR="00594391" w:rsidRPr="0010702D" w:rsidRDefault="00594391">
          <w:pPr>
            <w:pStyle w:val="Footer"/>
            <w:tabs>
              <w:tab w:val="clear" w:pos="4513"/>
              <w:tab w:val="clear" w:pos="9026"/>
            </w:tabs>
            <w:rPr>
              <w:lang w:val="nl-NL"/>
            </w:rPr>
          </w:pPr>
        </w:p>
      </w:tc>
      <w:tc>
        <w:tcPr>
          <w:tcW w:w="2628" w:type="dxa"/>
        </w:tcPr>
        <w:p w14:paraId="7CC249E2" w14:textId="77777777" w:rsidR="00594391" w:rsidRPr="0010702D" w:rsidRDefault="00594391">
          <w:pPr>
            <w:pStyle w:val="Footer"/>
            <w:tabs>
              <w:tab w:val="clear" w:pos="4513"/>
              <w:tab w:val="clear" w:pos="9026"/>
            </w:tabs>
            <w:jc w:val="center"/>
            <w:rPr>
              <w:lang w:val="nl-NL"/>
            </w:rPr>
          </w:pPr>
        </w:p>
      </w:tc>
      <w:tc>
        <w:tcPr>
          <w:tcW w:w="2628" w:type="dxa"/>
        </w:tcPr>
        <w:p w14:paraId="44996F25" w14:textId="77777777" w:rsidR="00594391" w:rsidRPr="00394CF8" w:rsidRDefault="00594391">
          <w:pPr>
            <w:pStyle w:val="Footer"/>
            <w:tabs>
              <w:tab w:val="clear" w:pos="4513"/>
              <w:tab w:val="clear" w:pos="9026"/>
            </w:tabs>
            <w:spacing w:before="240"/>
            <w:jc w:val="right"/>
            <w:rPr>
              <w:lang w:val="nl-NL"/>
            </w:rPr>
          </w:pPr>
          <w:r w:rsidRPr="0010702D">
            <w:rPr>
              <w:b/>
              <w:noProof/>
            </w:rPr>
            <w:drawing>
              <wp:anchor distT="0" distB="0" distL="114300" distR="114300" simplePos="0" relativeHeight="251658240" behindDoc="0" locked="0" layoutInCell="1" allowOverlap="1" wp14:anchorId="2078B298" wp14:editId="516829F0">
                <wp:simplePos x="0" y="0"/>
                <wp:positionH relativeFrom="rightMargin">
                  <wp:posOffset>-146908</wp:posOffset>
                </wp:positionH>
                <wp:positionV relativeFrom="paragraph">
                  <wp:posOffset>46990</wp:posOffset>
                </wp:positionV>
                <wp:extent cx="208800" cy="2520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10702D">
            <w:rPr>
              <w:lang w:val="nl-NL"/>
            </w:rPr>
            <w:fldChar w:fldCharType="begin"/>
          </w:r>
          <w:r w:rsidRPr="0010702D">
            <w:rPr>
              <w:lang w:val="nl-NL"/>
            </w:rPr>
            <w:instrText xml:space="preserve"> PAGE   \* MERGEFORMAT </w:instrText>
          </w:r>
          <w:r w:rsidRPr="0010702D">
            <w:rPr>
              <w:lang w:val="nl-NL"/>
            </w:rPr>
            <w:fldChar w:fldCharType="separate"/>
          </w:r>
          <w:r>
            <w:t>2</w:t>
          </w:r>
          <w:r w:rsidRPr="0010702D">
            <w:rPr>
              <w:lang w:val="nl-NL"/>
            </w:rPr>
            <w:fldChar w:fldCharType="end"/>
          </w:r>
        </w:p>
      </w:tc>
    </w:tr>
  </w:tbl>
  <w:p w14:paraId="1D3E55B7" w14:textId="77777777" w:rsidR="00594391" w:rsidRDefault="0059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7B59" w14:textId="77777777" w:rsidR="00BA5151" w:rsidRDefault="00BA5151" w:rsidP="00594391">
      <w:pPr>
        <w:spacing w:before="0"/>
      </w:pPr>
      <w:r>
        <w:separator/>
      </w:r>
    </w:p>
  </w:footnote>
  <w:footnote w:type="continuationSeparator" w:id="0">
    <w:p w14:paraId="0375BD87" w14:textId="77777777" w:rsidR="00BA5151" w:rsidRDefault="00BA5151" w:rsidP="00594391">
      <w:pPr>
        <w:spacing w:before="0"/>
      </w:pPr>
      <w:r>
        <w:continuationSeparator/>
      </w:r>
    </w:p>
  </w:footnote>
  <w:footnote w:type="continuationNotice" w:id="1">
    <w:p w14:paraId="02CF9F30" w14:textId="77777777" w:rsidR="00BA5151" w:rsidRDefault="00BA5151">
      <w:pPr>
        <w:spacing w:before="0" w:line="240" w:lineRule="auto"/>
      </w:pPr>
    </w:p>
  </w:footnote>
  <w:footnote w:id="2">
    <w:p w14:paraId="0FC6F629" w14:textId="6519823C" w:rsidR="00780056" w:rsidRPr="00780056" w:rsidRDefault="00780056">
      <w:pPr>
        <w:pStyle w:val="FootnoteText"/>
        <w:rPr>
          <w:lang w:val="en-US"/>
        </w:rPr>
      </w:pPr>
      <w:r>
        <w:rPr>
          <w:rStyle w:val="FootnoteReference"/>
        </w:rPr>
        <w:footnoteRef/>
      </w:r>
      <w:r>
        <w:t xml:space="preserve"> See also §4.1 of LNG </w:t>
      </w:r>
      <w:proofErr w:type="spellStart"/>
      <w:r>
        <w:t>Terminalling</w:t>
      </w:r>
      <w:proofErr w:type="spellEnd"/>
      <w:r>
        <w:t xml:space="preserve"> Program for a description of a Slot</w:t>
      </w:r>
    </w:p>
  </w:footnote>
  <w:footnote w:id="3">
    <w:p w14:paraId="3B2E5DCD" w14:textId="2459491B" w:rsidR="009F0BCB" w:rsidRPr="009F0BCB" w:rsidRDefault="009F0BCB">
      <w:pPr>
        <w:pStyle w:val="FootnoteText"/>
        <w:rPr>
          <w:lang w:val="en-US"/>
        </w:rPr>
      </w:pPr>
      <w:r>
        <w:rPr>
          <w:rStyle w:val="FootnoteReference"/>
        </w:rPr>
        <w:footnoteRef/>
      </w:r>
      <w:r>
        <w:t xml:space="preserve"> </w:t>
      </w:r>
      <w:r>
        <w:rPr>
          <w:lang w:val="en-US"/>
        </w:rPr>
        <w:t>“0</w:t>
      </w:r>
      <w:r w:rsidR="00111F1A">
        <w:rPr>
          <w:lang w:val="en-US"/>
        </w:rPr>
        <w:t>,</w:t>
      </w:r>
      <w:r>
        <w:rPr>
          <w:lang w:val="en-US"/>
        </w:rPr>
        <w:t>5” will be rounded up to “1”</w:t>
      </w:r>
    </w:p>
  </w:footnote>
  <w:footnote w:id="4">
    <w:p w14:paraId="46903F4B" w14:textId="6BC6C229" w:rsidR="00DF45A0" w:rsidRPr="00DF45A0" w:rsidRDefault="00DF45A0">
      <w:pPr>
        <w:pStyle w:val="FootnoteText"/>
        <w:rPr>
          <w:lang w:val="en-US"/>
        </w:rPr>
      </w:pPr>
      <w:r>
        <w:rPr>
          <w:rStyle w:val="FootnoteReference"/>
        </w:rPr>
        <w:footnoteRef/>
      </w:r>
      <w:r>
        <w:t xml:space="preserve"> </w:t>
      </w:r>
      <w:r w:rsidR="00C72DFE">
        <w:rPr>
          <w:lang w:val="en-US"/>
        </w:rPr>
        <w:t xml:space="preserve">If </w:t>
      </w:r>
      <w:r w:rsidR="00210753">
        <w:rPr>
          <w:lang w:val="en-US"/>
        </w:rPr>
        <w:t>1</w:t>
      </w:r>
      <w:r w:rsidR="00504720">
        <w:rPr>
          <w:lang w:val="en-US"/>
        </w:rPr>
        <w:t xml:space="preserve"> lot has already been allocated through the longest duration criteria, the </w:t>
      </w:r>
      <w:r w:rsidR="00210753">
        <w:rPr>
          <w:lang w:val="en-US"/>
        </w:rPr>
        <w:t>“</w:t>
      </w:r>
      <w:r w:rsidR="00504720">
        <w:rPr>
          <w:lang w:val="en-US"/>
        </w:rPr>
        <w:t>number of offered lots</w:t>
      </w:r>
      <w:r w:rsidR="00210753">
        <w:rPr>
          <w:lang w:val="en-US"/>
        </w:rPr>
        <w:t>”</w:t>
      </w:r>
      <w:r w:rsidR="00504720">
        <w:rPr>
          <w:lang w:val="en-US"/>
        </w:rPr>
        <w:t xml:space="preserve"> </w:t>
      </w:r>
      <w:r w:rsidR="00210753">
        <w:rPr>
          <w:lang w:val="en-US"/>
        </w:rPr>
        <w:t>will be equal to 1</w:t>
      </w:r>
      <w:r w:rsidR="007A382D">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FED"/>
    <w:multiLevelType w:val="hybridMultilevel"/>
    <w:tmpl w:val="0DA49B04"/>
    <w:lvl w:ilvl="0" w:tplc="D312D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459CC"/>
    <w:multiLevelType w:val="hybridMultilevel"/>
    <w:tmpl w:val="64C69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63EE0"/>
    <w:multiLevelType w:val="hybridMultilevel"/>
    <w:tmpl w:val="D430B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819D3"/>
    <w:multiLevelType w:val="hybridMultilevel"/>
    <w:tmpl w:val="E0DE6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C5F04"/>
    <w:multiLevelType w:val="hybridMultilevel"/>
    <w:tmpl w:val="B338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012B2"/>
    <w:multiLevelType w:val="hybridMultilevel"/>
    <w:tmpl w:val="C7F0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9F448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12"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902ED5"/>
    <w:multiLevelType w:val="hybridMultilevel"/>
    <w:tmpl w:val="7AB4BD94"/>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2903"/>
    <w:multiLevelType w:val="hybridMultilevel"/>
    <w:tmpl w:val="4730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B046B9"/>
    <w:multiLevelType w:val="hybridMultilevel"/>
    <w:tmpl w:val="D68E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B35C9"/>
    <w:multiLevelType w:val="hybridMultilevel"/>
    <w:tmpl w:val="310CF61E"/>
    <w:lvl w:ilvl="0" w:tplc="B4DE23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95590"/>
    <w:multiLevelType w:val="hybridMultilevel"/>
    <w:tmpl w:val="9364E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388209">
    <w:abstractNumId w:val="1"/>
  </w:num>
  <w:num w:numId="2" w16cid:durableId="1781144557">
    <w:abstractNumId w:val="11"/>
  </w:num>
  <w:num w:numId="3" w16cid:durableId="1883398925">
    <w:abstractNumId w:val="9"/>
  </w:num>
  <w:num w:numId="4" w16cid:durableId="323555959">
    <w:abstractNumId w:val="15"/>
  </w:num>
  <w:num w:numId="5" w16cid:durableId="147789413">
    <w:abstractNumId w:val="12"/>
  </w:num>
  <w:num w:numId="6" w16cid:durableId="812983961">
    <w:abstractNumId w:val="8"/>
  </w:num>
  <w:num w:numId="7" w16cid:durableId="1894195716">
    <w:abstractNumId w:val="4"/>
  </w:num>
  <w:num w:numId="8" w16cid:durableId="484518515">
    <w:abstractNumId w:val="10"/>
  </w:num>
  <w:num w:numId="9" w16cid:durableId="1136528498">
    <w:abstractNumId w:val="13"/>
  </w:num>
  <w:num w:numId="10" w16cid:durableId="1116757536">
    <w:abstractNumId w:val="16"/>
  </w:num>
  <w:num w:numId="11" w16cid:durableId="1108309565">
    <w:abstractNumId w:val="7"/>
  </w:num>
  <w:num w:numId="12" w16cid:durableId="1080952510">
    <w:abstractNumId w:val="2"/>
  </w:num>
  <w:num w:numId="13" w16cid:durableId="231426605">
    <w:abstractNumId w:val="5"/>
  </w:num>
  <w:num w:numId="14" w16cid:durableId="1647009612">
    <w:abstractNumId w:val="14"/>
  </w:num>
  <w:num w:numId="15" w16cid:durableId="1987391259">
    <w:abstractNumId w:val="3"/>
  </w:num>
  <w:num w:numId="16" w16cid:durableId="1968048188">
    <w:abstractNumId w:val="18"/>
  </w:num>
  <w:num w:numId="17" w16cid:durableId="1713769487">
    <w:abstractNumId w:val="6"/>
  </w:num>
  <w:num w:numId="18" w16cid:durableId="1684741280">
    <w:abstractNumId w:val="17"/>
  </w:num>
  <w:num w:numId="19" w16cid:durableId="1040397828">
    <w:abstractNumId w:val="0"/>
  </w:num>
  <w:num w:numId="20" w16cid:durableId="968364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CE"/>
    <w:rsid w:val="00000065"/>
    <w:rsid w:val="00001670"/>
    <w:rsid w:val="0000217E"/>
    <w:rsid w:val="00004A78"/>
    <w:rsid w:val="000051AA"/>
    <w:rsid w:val="000117D0"/>
    <w:rsid w:val="000117FB"/>
    <w:rsid w:val="00012ABC"/>
    <w:rsid w:val="00012B47"/>
    <w:rsid w:val="000145F0"/>
    <w:rsid w:val="00015316"/>
    <w:rsid w:val="00017CFE"/>
    <w:rsid w:val="0002038B"/>
    <w:rsid w:val="0002076B"/>
    <w:rsid w:val="00022C51"/>
    <w:rsid w:val="0002339F"/>
    <w:rsid w:val="00023940"/>
    <w:rsid w:val="000243C7"/>
    <w:rsid w:val="00025B5B"/>
    <w:rsid w:val="00026DBC"/>
    <w:rsid w:val="000300F4"/>
    <w:rsid w:val="00030DCB"/>
    <w:rsid w:val="00032A7B"/>
    <w:rsid w:val="00033549"/>
    <w:rsid w:val="0003512C"/>
    <w:rsid w:val="0003542A"/>
    <w:rsid w:val="000354C7"/>
    <w:rsid w:val="00035DDF"/>
    <w:rsid w:val="00036483"/>
    <w:rsid w:val="0003730C"/>
    <w:rsid w:val="00041B93"/>
    <w:rsid w:val="00042542"/>
    <w:rsid w:val="00045DE4"/>
    <w:rsid w:val="00047CEA"/>
    <w:rsid w:val="00053705"/>
    <w:rsid w:val="00053C69"/>
    <w:rsid w:val="00054421"/>
    <w:rsid w:val="000557AF"/>
    <w:rsid w:val="00055FCE"/>
    <w:rsid w:val="00056380"/>
    <w:rsid w:val="000616ED"/>
    <w:rsid w:val="000633E5"/>
    <w:rsid w:val="000638AC"/>
    <w:rsid w:val="000640D5"/>
    <w:rsid w:val="00064632"/>
    <w:rsid w:val="000677EB"/>
    <w:rsid w:val="000678E5"/>
    <w:rsid w:val="0007193B"/>
    <w:rsid w:val="0007295F"/>
    <w:rsid w:val="00073D00"/>
    <w:rsid w:val="00074DC4"/>
    <w:rsid w:val="00077CFF"/>
    <w:rsid w:val="000802F7"/>
    <w:rsid w:val="00080FB3"/>
    <w:rsid w:val="000814CF"/>
    <w:rsid w:val="00081B12"/>
    <w:rsid w:val="00082944"/>
    <w:rsid w:val="00082BAA"/>
    <w:rsid w:val="00082E08"/>
    <w:rsid w:val="000830BF"/>
    <w:rsid w:val="00083749"/>
    <w:rsid w:val="00084497"/>
    <w:rsid w:val="00084787"/>
    <w:rsid w:val="000859EC"/>
    <w:rsid w:val="00085A22"/>
    <w:rsid w:val="0008667F"/>
    <w:rsid w:val="000870A1"/>
    <w:rsid w:val="0008714E"/>
    <w:rsid w:val="00091674"/>
    <w:rsid w:val="00091979"/>
    <w:rsid w:val="000921EC"/>
    <w:rsid w:val="00092BDD"/>
    <w:rsid w:val="000937E7"/>
    <w:rsid w:val="00093A67"/>
    <w:rsid w:val="0009492A"/>
    <w:rsid w:val="00094F69"/>
    <w:rsid w:val="00095BBF"/>
    <w:rsid w:val="00096969"/>
    <w:rsid w:val="000977C4"/>
    <w:rsid w:val="000A16F7"/>
    <w:rsid w:val="000A3182"/>
    <w:rsid w:val="000A389D"/>
    <w:rsid w:val="000A39B6"/>
    <w:rsid w:val="000A56C6"/>
    <w:rsid w:val="000A5C69"/>
    <w:rsid w:val="000A5F4B"/>
    <w:rsid w:val="000A61AD"/>
    <w:rsid w:val="000A7066"/>
    <w:rsid w:val="000B05FE"/>
    <w:rsid w:val="000B09C3"/>
    <w:rsid w:val="000B1489"/>
    <w:rsid w:val="000B3D03"/>
    <w:rsid w:val="000B4316"/>
    <w:rsid w:val="000B48CF"/>
    <w:rsid w:val="000B4E76"/>
    <w:rsid w:val="000B54B5"/>
    <w:rsid w:val="000B7186"/>
    <w:rsid w:val="000B72AE"/>
    <w:rsid w:val="000C10D3"/>
    <w:rsid w:val="000C1A49"/>
    <w:rsid w:val="000C1D95"/>
    <w:rsid w:val="000C2E84"/>
    <w:rsid w:val="000C331A"/>
    <w:rsid w:val="000C5595"/>
    <w:rsid w:val="000C7CF5"/>
    <w:rsid w:val="000D05F0"/>
    <w:rsid w:val="000D1AAF"/>
    <w:rsid w:val="000D2C51"/>
    <w:rsid w:val="000D56B9"/>
    <w:rsid w:val="000D5C06"/>
    <w:rsid w:val="000E0689"/>
    <w:rsid w:val="000E2034"/>
    <w:rsid w:val="000E35A9"/>
    <w:rsid w:val="000E5449"/>
    <w:rsid w:val="000E6F84"/>
    <w:rsid w:val="000F03DF"/>
    <w:rsid w:val="000F0813"/>
    <w:rsid w:val="000F3311"/>
    <w:rsid w:val="000F4D90"/>
    <w:rsid w:val="000F5677"/>
    <w:rsid w:val="000F5CED"/>
    <w:rsid w:val="000F6672"/>
    <w:rsid w:val="000F7A8A"/>
    <w:rsid w:val="001015B9"/>
    <w:rsid w:val="00104A6C"/>
    <w:rsid w:val="0010539E"/>
    <w:rsid w:val="001062CA"/>
    <w:rsid w:val="001064C5"/>
    <w:rsid w:val="00107895"/>
    <w:rsid w:val="00111058"/>
    <w:rsid w:val="00111B90"/>
    <w:rsid w:val="00111F1A"/>
    <w:rsid w:val="00112576"/>
    <w:rsid w:val="00114CF8"/>
    <w:rsid w:val="00117492"/>
    <w:rsid w:val="00120853"/>
    <w:rsid w:val="00121A4C"/>
    <w:rsid w:val="001254A4"/>
    <w:rsid w:val="001304EA"/>
    <w:rsid w:val="0013087E"/>
    <w:rsid w:val="0013225A"/>
    <w:rsid w:val="00134937"/>
    <w:rsid w:val="001378AD"/>
    <w:rsid w:val="0013790C"/>
    <w:rsid w:val="00143300"/>
    <w:rsid w:val="00144468"/>
    <w:rsid w:val="00144BCA"/>
    <w:rsid w:val="00145001"/>
    <w:rsid w:val="001452E7"/>
    <w:rsid w:val="00150798"/>
    <w:rsid w:val="0015108F"/>
    <w:rsid w:val="00151CAE"/>
    <w:rsid w:val="001535FF"/>
    <w:rsid w:val="001554C4"/>
    <w:rsid w:val="001577EB"/>
    <w:rsid w:val="00160854"/>
    <w:rsid w:val="001608B9"/>
    <w:rsid w:val="00161F35"/>
    <w:rsid w:val="001624DE"/>
    <w:rsid w:val="00162827"/>
    <w:rsid w:val="001643C9"/>
    <w:rsid w:val="00166A67"/>
    <w:rsid w:val="00166BB0"/>
    <w:rsid w:val="00167C36"/>
    <w:rsid w:val="001701A2"/>
    <w:rsid w:val="001712A5"/>
    <w:rsid w:val="001715F6"/>
    <w:rsid w:val="00171651"/>
    <w:rsid w:val="00171EFB"/>
    <w:rsid w:val="001732B9"/>
    <w:rsid w:val="00173C6D"/>
    <w:rsid w:val="001745F1"/>
    <w:rsid w:val="00174A4D"/>
    <w:rsid w:val="001756F0"/>
    <w:rsid w:val="00176D10"/>
    <w:rsid w:val="00176ECE"/>
    <w:rsid w:val="001776A3"/>
    <w:rsid w:val="00181406"/>
    <w:rsid w:val="001815EF"/>
    <w:rsid w:val="00181E93"/>
    <w:rsid w:val="0018278C"/>
    <w:rsid w:val="00185EE7"/>
    <w:rsid w:val="00190D24"/>
    <w:rsid w:val="00193E3B"/>
    <w:rsid w:val="001943A3"/>
    <w:rsid w:val="0019497D"/>
    <w:rsid w:val="00196028"/>
    <w:rsid w:val="00196F00"/>
    <w:rsid w:val="001A031B"/>
    <w:rsid w:val="001A12A4"/>
    <w:rsid w:val="001A3293"/>
    <w:rsid w:val="001A3BD9"/>
    <w:rsid w:val="001A4C24"/>
    <w:rsid w:val="001A5328"/>
    <w:rsid w:val="001A55D7"/>
    <w:rsid w:val="001A765F"/>
    <w:rsid w:val="001A7F8C"/>
    <w:rsid w:val="001B1E01"/>
    <w:rsid w:val="001B2317"/>
    <w:rsid w:val="001B238C"/>
    <w:rsid w:val="001B3DD2"/>
    <w:rsid w:val="001B47E9"/>
    <w:rsid w:val="001B4878"/>
    <w:rsid w:val="001B5B25"/>
    <w:rsid w:val="001B6AA4"/>
    <w:rsid w:val="001B7270"/>
    <w:rsid w:val="001C0013"/>
    <w:rsid w:val="001C0AFC"/>
    <w:rsid w:val="001C4C15"/>
    <w:rsid w:val="001C4C8B"/>
    <w:rsid w:val="001C56CD"/>
    <w:rsid w:val="001C5C5B"/>
    <w:rsid w:val="001C6AA3"/>
    <w:rsid w:val="001D775A"/>
    <w:rsid w:val="001E043C"/>
    <w:rsid w:val="001E0F49"/>
    <w:rsid w:val="001E11A8"/>
    <w:rsid w:val="001E127B"/>
    <w:rsid w:val="001E1A1E"/>
    <w:rsid w:val="001E20F0"/>
    <w:rsid w:val="001E3291"/>
    <w:rsid w:val="001E515F"/>
    <w:rsid w:val="001E57AF"/>
    <w:rsid w:val="001E58CC"/>
    <w:rsid w:val="001E5B03"/>
    <w:rsid w:val="001E5BCE"/>
    <w:rsid w:val="001E6200"/>
    <w:rsid w:val="001E6390"/>
    <w:rsid w:val="001E7968"/>
    <w:rsid w:val="001E7ABD"/>
    <w:rsid w:val="001E7FDF"/>
    <w:rsid w:val="001F0EDE"/>
    <w:rsid w:val="001F1A9F"/>
    <w:rsid w:val="001F1EE4"/>
    <w:rsid w:val="001F208F"/>
    <w:rsid w:val="001F421E"/>
    <w:rsid w:val="001F54CB"/>
    <w:rsid w:val="001F6D6A"/>
    <w:rsid w:val="001F7E95"/>
    <w:rsid w:val="002046C0"/>
    <w:rsid w:val="00205422"/>
    <w:rsid w:val="00206108"/>
    <w:rsid w:val="00207B6B"/>
    <w:rsid w:val="00210753"/>
    <w:rsid w:val="002108C6"/>
    <w:rsid w:val="00213529"/>
    <w:rsid w:val="00214187"/>
    <w:rsid w:val="002153A1"/>
    <w:rsid w:val="00215A35"/>
    <w:rsid w:val="002165D0"/>
    <w:rsid w:val="00216B74"/>
    <w:rsid w:val="00216DCB"/>
    <w:rsid w:val="00220A26"/>
    <w:rsid w:val="00222991"/>
    <w:rsid w:val="00222B99"/>
    <w:rsid w:val="00223277"/>
    <w:rsid w:val="00230677"/>
    <w:rsid w:val="00231AB3"/>
    <w:rsid w:val="00233E4D"/>
    <w:rsid w:val="00235028"/>
    <w:rsid w:val="00235936"/>
    <w:rsid w:val="00236906"/>
    <w:rsid w:val="002370F2"/>
    <w:rsid w:val="002379E2"/>
    <w:rsid w:val="00240E0E"/>
    <w:rsid w:val="00242EEA"/>
    <w:rsid w:val="002443C8"/>
    <w:rsid w:val="002445C5"/>
    <w:rsid w:val="002445CA"/>
    <w:rsid w:val="00244756"/>
    <w:rsid w:val="0024484F"/>
    <w:rsid w:val="00246F92"/>
    <w:rsid w:val="002509B5"/>
    <w:rsid w:val="0025143D"/>
    <w:rsid w:val="002517A2"/>
    <w:rsid w:val="002527B3"/>
    <w:rsid w:val="002532C5"/>
    <w:rsid w:val="002541CB"/>
    <w:rsid w:val="00254E48"/>
    <w:rsid w:val="0026087B"/>
    <w:rsid w:val="00260CB8"/>
    <w:rsid w:val="002624C2"/>
    <w:rsid w:val="0026264F"/>
    <w:rsid w:val="0026435A"/>
    <w:rsid w:val="002645BF"/>
    <w:rsid w:val="0026578E"/>
    <w:rsid w:val="00267374"/>
    <w:rsid w:val="00267540"/>
    <w:rsid w:val="00267DD3"/>
    <w:rsid w:val="00270D20"/>
    <w:rsid w:val="00271438"/>
    <w:rsid w:val="00271677"/>
    <w:rsid w:val="002728DE"/>
    <w:rsid w:val="002732BC"/>
    <w:rsid w:val="0027345D"/>
    <w:rsid w:val="00273CAE"/>
    <w:rsid w:val="00273E0B"/>
    <w:rsid w:val="00274204"/>
    <w:rsid w:val="00274C5A"/>
    <w:rsid w:val="00275DC7"/>
    <w:rsid w:val="00276808"/>
    <w:rsid w:val="00277123"/>
    <w:rsid w:val="0028004A"/>
    <w:rsid w:val="0028087A"/>
    <w:rsid w:val="00280898"/>
    <w:rsid w:val="002818A1"/>
    <w:rsid w:val="00281F6B"/>
    <w:rsid w:val="002822DB"/>
    <w:rsid w:val="00282D1A"/>
    <w:rsid w:val="00282D2F"/>
    <w:rsid w:val="00282F44"/>
    <w:rsid w:val="00284E4C"/>
    <w:rsid w:val="0028561D"/>
    <w:rsid w:val="00285BCD"/>
    <w:rsid w:val="002863A1"/>
    <w:rsid w:val="002900A8"/>
    <w:rsid w:val="00294552"/>
    <w:rsid w:val="002955AE"/>
    <w:rsid w:val="002958CD"/>
    <w:rsid w:val="00295D3C"/>
    <w:rsid w:val="002978C2"/>
    <w:rsid w:val="00297F1D"/>
    <w:rsid w:val="002A032F"/>
    <w:rsid w:val="002A2EE5"/>
    <w:rsid w:val="002A3441"/>
    <w:rsid w:val="002A4B10"/>
    <w:rsid w:val="002A67FD"/>
    <w:rsid w:val="002A7CC5"/>
    <w:rsid w:val="002B1F0E"/>
    <w:rsid w:val="002B26E3"/>
    <w:rsid w:val="002B29E9"/>
    <w:rsid w:val="002B2C68"/>
    <w:rsid w:val="002B3579"/>
    <w:rsid w:val="002B4B4A"/>
    <w:rsid w:val="002B510B"/>
    <w:rsid w:val="002C0481"/>
    <w:rsid w:val="002C0889"/>
    <w:rsid w:val="002C2E6B"/>
    <w:rsid w:val="002C3232"/>
    <w:rsid w:val="002C33F2"/>
    <w:rsid w:val="002C4488"/>
    <w:rsid w:val="002C6499"/>
    <w:rsid w:val="002C727F"/>
    <w:rsid w:val="002D0654"/>
    <w:rsid w:val="002D0E63"/>
    <w:rsid w:val="002D1241"/>
    <w:rsid w:val="002D24FC"/>
    <w:rsid w:val="002D357C"/>
    <w:rsid w:val="002D5047"/>
    <w:rsid w:val="002D562B"/>
    <w:rsid w:val="002D60D7"/>
    <w:rsid w:val="002E138E"/>
    <w:rsid w:val="002E2E00"/>
    <w:rsid w:val="002E41E0"/>
    <w:rsid w:val="002E463F"/>
    <w:rsid w:val="002E4974"/>
    <w:rsid w:val="002E5A87"/>
    <w:rsid w:val="002E61B3"/>
    <w:rsid w:val="002F0529"/>
    <w:rsid w:val="002F09DA"/>
    <w:rsid w:val="002F1624"/>
    <w:rsid w:val="002F16A5"/>
    <w:rsid w:val="002F1772"/>
    <w:rsid w:val="002F193D"/>
    <w:rsid w:val="002F19C6"/>
    <w:rsid w:val="002F68C5"/>
    <w:rsid w:val="002F6B37"/>
    <w:rsid w:val="002F78EE"/>
    <w:rsid w:val="003043C6"/>
    <w:rsid w:val="00304761"/>
    <w:rsid w:val="00304C18"/>
    <w:rsid w:val="00305529"/>
    <w:rsid w:val="00305C3A"/>
    <w:rsid w:val="00305D29"/>
    <w:rsid w:val="00306111"/>
    <w:rsid w:val="00307803"/>
    <w:rsid w:val="003138D0"/>
    <w:rsid w:val="00314660"/>
    <w:rsid w:val="003175B8"/>
    <w:rsid w:val="00320505"/>
    <w:rsid w:val="003240D0"/>
    <w:rsid w:val="003257F4"/>
    <w:rsid w:val="003258A2"/>
    <w:rsid w:val="00327812"/>
    <w:rsid w:val="00330B35"/>
    <w:rsid w:val="00330DD1"/>
    <w:rsid w:val="00330E12"/>
    <w:rsid w:val="00332067"/>
    <w:rsid w:val="00334A0C"/>
    <w:rsid w:val="00335A4C"/>
    <w:rsid w:val="003451D3"/>
    <w:rsid w:val="003475D5"/>
    <w:rsid w:val="00351007"/>
    <w:rsid w:val="00352757"/>
    <w:rsid w:val="003546A2"/>
    <w:rsid w:val="00355597"/>
    <w:rsid w:val="0035577E"/>
    <w:rsid w:val="00356689"/>
    <w:rsid w:val="003617BC"/>
    <w:rsid w:val="00363286"/>
    <w:rsid w:val="003633AE"/>
    <w:rsid w:val="003641FE"/>
    <w:rsid w:val="00365727"/>
    <w:rsid w:val="00366397"/>
    <w:rsid w:val="00366A80"/>
    <w:rsid w:val="00367734"/>
    <w:rsid w:val="0037003D"/>
    <w:rsid w:val="0037218F"/>
    <w:rsid w:val="003734F2"/>
    <w:rsid w:val="003734F3"/>
    <w:rsid w:val="0037380F"/>
    <w:rsid w:val="003760B1"/>
    <w:rsid w:val="003768CD"/>
    <w:rsid w:val="00376C64"/>
    <w:rsid w:val="003814A2"/>
    <w:rsid w:val="00382CCD"/>
    <w:rsid w:val="00383565"/>
    <w:rsid w:val="00384D45"/>
    <w:rsid w:val="00385071"/>
    <w:rsid w:val="00385CE6"/>
    <w:rsid w:val="00387521"/>
    <w:rsid w:val="003901B8"/>
    <w:rsid w:val="003906B9"/>
    <w:rsid w:val="00390C66"/>
    <w:rsid w:val="00391B92"/>
    <w:rsid w:val="003923F8"/>
    <w:rsid w:val="00393885"/>
    <w:rsid w:val="003944E0"/>
    <w:rsid w:val="003949E0"/>
    <w:rsid w:val="00394DAE"/>
    <w:rsid w:val="003965E2"/>
    <w:rsid w:val="003974E0"/>
    <w:rsid w:val="003A07A8"/>
    <w:rsid w:val="003A4465"/>
    <w:rsid w:val="003A4B15"/>
    <w:rsid w:val="003A5421"/>
    <w:rsid w:val="003A57A0"/>
    <w:rsid w:val="003A5949"/>
    <w:rsid w:val="003A5D6E"/>
    <w:rsid w:val="003A5FEB"/>
    <w:rsid w:val="003A702F"/>
    <w:rsid w:val="003A712D"/>
    <w:rsid w:val="003A71D7"/>
    <w:rsid w:val="003B0126"/>
    <w:rsid w:val="003B01FF"/>
    <w:rsid w:val="003B4A18"/>
    <w:rsid w:val="003B54A9"/>
    <w:rsid w:val="003B5A84"/>
    <w:rsid w:val="003B78B7"/>
    <w:rsid w:val="003B7DEB"/>
    <w:rsid w:val="003C09DA"/>
    <w:rsid w:val="003C1561"/>
    <w:rsid w:val="003C2324"/>
    <w:rsid w:val="003C329C"/>
    <w:rsid w:val="003C535F"/>
    <w:rsid w:val="003C5C48"/>
    <w:rsid w:val="003C5D22"/>
    <w:rsid w:val="003C7EC7"/>
    <w:rsid w:val="003C7EDD"/>
    <w:rsid w:val="003C7EEB"/>
    <w:rsid w:val="003D0607"/>
    <w:rsid w:val="003D1340"/>
    <w:rsid w:val="003D1B03"/>
    <w:rsid w:val="003D31F0"/>
    <w:rsid w:val="003D4C84"/>
    <w:rsid w:val="003D5389"/>
    <w:rsid w:val="003D5D3C"/>
    <w:rsid w:val="003D64BE"/>
    <w:rsid w:val="003D6C72"/>
    <w:rsid w:val="003D7792"/>
    <w:rsid w:val="003E0242"/>
    <w:rsid w:val="003E1D86"/>
    <w:rsid w:val="003E3D09"/>
    <w:rsid w:val="003E461F"/>
    <w:rsid w:val="003E55E8"/>
    <w:rsid w:val="003E67F9"/>
    <w:rsid w:val="003E76CA"/>
    <w:rsid w:val="003F00D7"/>
    <w:rsid w:val="003F0463"/>
    <w:rsid w:val="003F33E7"/>
    <w:rsid w:val="003F3F4B"/>
    <w:rsid w:val="003F4DEB"/>
    <w:rsid w:val="003F50D4"/>
    <w:rsid w:val="003F58FD"/>
    <w:rsid w:val="003F6DEB"/>
    <w:rsid w:val="003F7866"/>
    <w:rsid w:val="00400144"/>
    <w:rsid w:val="00400627"/>
    <w:rsid w:val="0040130D"/>
    <w:rsid w:val="00402473"/>
    <w:rsid w:val="00404B99"/>
    <w:rsid w:val="00405E21"/>
    <w:rsid w:val="0040684E"/>
    <w:rsid w:val="00410047"/>
    <w:rsid w:val="00410962"/>
    <w:rsid w:val="00410FBE"/>
    <w:rsid w:val="00412329"/>
    <w:rsid w:val="00412920"/>
    <w:rsid w:val="0041424F"/>
    <w:rsid w:val="00414A08"/>
    <w:rsid w:val="00414F5B"/>
    <w:rsid w:val="0041596F"/>
    <w:rsid w:val="00417D94"/>
    <w:rsid w:val="00417DA4"/>
    <w:rsid w:val="00421ACF"/>
    <w:rsid w:val="00421D8E"/>
    <w:rsid w:val="004238B9"/>
    <w:rsid w:val="00423E58"/>
    <w:rsid w:val="00423F44"/>
    <w:rsid w:val="00430FBA"/>
    <w:rsid w:val="0043138F"/>
    <w:rsid w:val="004317EC"/>
    <w:rsid w:val="004319B2"/>
    <w:rsid w:val="00431FDE"/>
    <w:rsid w:val="00434808"/>
    <w:rsid w:val="00434D2E"/>
    <w:rsid w:val="0043591E"/>
    <w:rsid w:val="0043614A"/>
    <w:rsid w:val="004366FD"/>
    <w:rsid w:val="00436AD0"/>
    <w:rsid w:val="00436DAB"/>
    <w:rsid w:val="00440425"/>
    <w:rsid w:val="00440F1C"/>
    <w:rsid w:val="004412C1"/>
    <w:rsid w:val="00441483"/>
    <w:rsid w:val="00441BFA"/>
    <w:rsid w:val="00442FF6"/>
    <w:rsid w:val="0044338F"/>
    <w:rsid w:val="00443838"/>
    <w:rsid w:val="00444A71"/>
    <w:rsid w:val="00445A7F"/>
    <w:rsid w:val="0044663A"/>
    <w:rsid w:val="00450BD6"/>
    <w:rsid w:val="004513B3"/>
    <w:rsid w:val="0045158E"/>
    <w:rsid w:val="00451729"/>
    <w:rsid w:val="00451B17"/>
    <w:rsid w:val="0045306C"/>
    <w:rsid w:val="004532A5"/>
    <w:rsid w:val="00455D7F"/>
    <w:rsid w:val="00455EC8"/>
    <w:rsid w:val="004570FC"/>
    <w:rsid w:val="00460A7B"/>
    <w:rsid w:val="0046283B"/>
    <w:rsid w:val="00462CC8"/>
    <w:rsid w:val="00463749"/>
    <w:rsid w:val="00465882"/>
    <w:rsid w:val="004659BD"/>
    <w:rsid w:val="00465D23"/>
    <w:rsid w:val="00466B87"/>
    <w:rsid w:val="00466CA3"/>
    <w:rsid w:val="00470D12"/>
    <w:rsid w:val="00472617"/>
    <w:rsid w:val="00472830"/>
    <w:rsid w:val="004731F9"/>
    <w:rsid w:val="0047547C"/>
    <w:rsid w:val="004765A5"/>
    <w:rsid w:val="00477500"/>
    <w:rsid w:val="004779FC"/>
    <w:rsid w:val="004801B5"/>
    <w:rsid w:val="00480609"/>
    <w:rsid w:val="00482069"/>
    <w:rsid w:val="0048325C"/>
    <w:rsid w:val="004838DE"/>
    <w:rsid w:val="004850BA"/>
    <w:rsid w:val="00485FA8"/>
    <w:rsid w:val="0048795D"/>
    <w:rsid w:val="00490398"/>
    <w:rsid w:val="00491199"/>
    <w:rsid w:val="0049132E"/>
    <w:rsid w:val="00492144"/>
    <w:rsid w:val="00493249"/>
    <w:rsid w:val="00494AFB"/>
    <w:rsid w:val="00494D86"/>
    <w:rsid w:val="0049565F"/>
    <w:rsid w:val="00496056"/>
    <w:rsid w:val="004A03E1"/>
    <w:rsid w:val="004A0B1C"/>
    <w:rsid w:val="004A29D8"/>
    <w:rsid w:val="004A300E"/>
    <w:rsid w:val="004A3740"/>
    <w:rsid w:val="004A3A15"/>
    <w:rsid w:val="004A4734"/>
    <w:rsid w:val="004A4B20"/>
    <w:rsid w:val="004A623A"/>
    <w:rsid w:val="004A6C7C"/>
    <w:rsid w:val="004B13A8"/>
    <w:rsid w:val="004B1725"/>
    <w:rsid w:val="004B263A"/>
    <w:rsid w:val="004B3D27"/>
    <w:rsid w:val="004B4F76"/>
    <w:rsid w:val="004B5F7D"/>
    <w:rsid w:val="004B71AB"/>
    <w:rsid w:val="004B7607"/>
    <w:rsid w:val="004C14D3"/>
    <w:rsid w:val="004C4181"/>
    <w:rsid w:val="004C4696"/>
    <w:rsid w:val="004C4CB9"/>
    <w:rsid w:val="004C6BA4"/>
    <w:rsid w:val="004C6F1E"/>
    <w:rsid w:val="004C7BD5"/>
    <w:rsid w:val="004C7FAC"/>
    <w:rsid w:val="004D0270"/>
    <w:rsid w:val="004D2472"/>
    <w:rsid w:val="004D27B3"/>
    <w:rsid w:val="004D2C1D"/>
    <w:rsid w:val="004D388A"/>
    <w:rsid w:val="004D4B0A"/>
    <w:rsid w:val="004D666E"/>
    <w:rsid w:val="004D68A2"/>
    <w:rsid w:val="004D76E2"/>
    <w:rsid w:val="004E0D15"/>
    <w:rsid w:val="004E0E6F"/>
    <w:rsid w:val="004E2063"/>
    <w:rsid w:val="004E29A4"/>
    <w:rsid w:val="004E2E01"/>
    <w:rsid w:val="004E39D5"/>
    <w:rsid w:val="004E4C0B"/>
    <w:rsid w:val="004E6808"/>
    <w:rsid w:val="004F3D2D"/>
    <w:rsid w:val="004F6D90"/>
    <w:rsid w:val="00500213"/>
    <w:rsid w:val="00500439"/>
    <w:rsid w:val="00501A97"/>
    <w:rsid w:val="0050244F"/>
    <w:rsid w:val="00502D74"/>
    <w:rsid w:val="0050343C"/>
    <w:rsid w:val="00504720"/>
    <w:rsid w:val="00504967"/>
    <w:rsid w:val="00506896"/>
    <w:rsid w:val="005072E3"/>
    <w:rsid w:val="005075AF"/>
    <w:rsid w:val="005077AF"/>
    <w:rsid w:val="00507DC7"/>
    <w:rsid w:val="00510A7E"/>
    <w:rsid w:val="0051138C"/>
    <w:rsid w:val="00511428"/>
    <w:rsid w:val="005126C1"/>
    <w:rsid w:val="005130A6"/>
    <w:rsid w:val="00513F01"/>
    <w:rsid w:val="005148B9"/>
    <w:rsid w:val="00514C00"/>
    <w:rsid w:val="0051651C"/>
    <w:rsid w:val="00520D15"/>
    <w:rsid w:val="00521139"/>
    <w:rsid w:val="0052114D"/>
    <w:rsid w:val="005225CD"/>
    <w:rsid w:val="005238E3"/>
    <w:rsid w:val="00523C47"/>
    <w:rsid w:val="00524A54"/>
    <w:rsid w:val="005251C1"/>
    <w:rsid w:val="00526580"/>
    <w:rsid w:val="00526A3F"/>
    <w:rsid w:val="00526DBF"/>
    <w:rsid w:val="00527FA9"/>
    <w:rsid w:val="005310AB"/>
    <w:rsid w:val="0053120A"/>
    <w:rsid w:val="00531C04"/>
    <w:rsid w:val="00532858"/>
    <w:rsid w:val="00532B0F"/>
    <w:rsid w:val="005336D2"/>
    <w:rsid w:val="005346EF"/>
    <w:rsid w:val="0053471A"/>
    <w:rsid w:val="00534C59"/>
    <w:rsid w:val="00535E73"/>
    <w:rsid w:val="00536C97"/>
    <w:rsid w:val="00536FCD"/>
    <w:rsid w:val="0054019B"/>
    <w:rsid w:val="00541255"/>
    <w:rsid w:val="00542FCF"/>
    <w:rsid w:val="005439ED"/>
    <w:rsid w:val="00545884"/>
    <w:rsid w:val="00546BE7"/>
    <w:rsid w:val="005503A1"/>
    <w:rsid w:val="00550F04"/>
    <w:rsid w:val="00551FF7"/>
    <w:rsid w:val="00553580"/>
    <w:rsid w:val="00554B18"/>
    <w:rsid w:val="00554C1E"/>
    <w:rsid w:val="00555187"/>
    <w:rsid w:val="00557675"/>
    <w:rsid w:val="0056134E"/>
    <w:rsid w:val="0056240F"/>
    <w:rsid w:val="00563A36"/>
    <w:rsid w:val="00564E41"/>
    <w:rsid w:val="00565C68"/>
    <w:rsid w:val="005704C5"/>
    <w:rsid w:val="00571DCE"/>
    <w:rsid w:val="00571E0A"/>
    <w:rsid w:val="00574484"/>
    <w:rsid w:val="00574938"/>
    <w:rsid w:val="00574968"/>
    <w:rsid w:val="00575889"/>
    <w:rsid w:val="0057645A"/>
    <w:rsid w:val="005778A5"/>
    <w:rsid w:val="00577AEB"/>
    <w:rsid w:val="00577DC0"/>
    <w:rsid w:val="005806A6"/>
    <w:rsid w:val="00583616"/>
    <w:rsid w:val="00585D30"/>
    <w:rsid w:val="00586EC4"/>
    <w:rsid w:val="00587D51"/>
    <w:rsid w:val="00591142"/>
    <w:rsid w:val="00592A9D"/>
    <w:rsid w:val="00593A0C"/>
    <w:rsid w:val="00594391"/>
    <w:rsid w:val="00595F29"/>
    <w:rsid w:val="00596903"/>
    <w:rsid w:val="00597604"/>
    <w:rsid w:val="005A1BF2"/>
    <w:rsid w:val="005A350B"/>
    <w:rsid w:val="005A3CD4"/>
    <w:rsid w:val="005A3D65"/>
    <w:rsid w:val="005A494C"/>
    <w:rsid w:val="005A59EB"/>
    <w:rsid w:val="005B027E"/>
    <w:rsid w:val="005B250F"/>
    <w:rsid w:val="005B3AD6"/>
    <w:rsid w:val="005B3B89"/>
    <w:rsid w:val="005B47C8"/>
    <w:rsid w:val="005B4EE6"/>
    <w:rsid w:val="005B6327"/>
    <w:rsid w:val="005B7BD7"/>
    <w:rsid w:val="005B7E04"/>
    <w:rsid w:val="005C1792"/>
    <w:rsid w:val="005C3E8F"/>
    <w:rsid w:val="005C45A0"/>
    <w:rsid w:val="005C704C"/>
    <w:rsid w:val="005C7C5C"/>
    <w:rsid w:val="005D0282"/>
    <w:rsid w:val="005D0BE8"/>
    <w:rsid w:val="005D30FF"/>
    <w:rsid w:val="005D4E28"/>
    <w:rsid w:val="005D5A2A"/>
    <w:rsid w:val="005D626E"/>
    <w:rsid w:val="005E283C"/>
    <w:rsid w:val="005E2890"/>
    <w:rsid w:val="005E2B41"/>
    <w:rsid w:val="005E44E2"/>
    <w:rsid w:val="005E4D2D"/>
    <w:rsid w:val="005E614D"/>
    <w:rsid w:val="005E708A"/>
    <w:rsid w:val="005F07C2"/>
    <w:rsid w:val="005F2B57"/>
    <w:rsid w:val="005F35EB"/>
    <w:rsid w:val="005F380E"/>
    <w:rsid w:val="005F398F"/>
    <w:rsid w:val="005F3C1C"/>
    <w:rsid w:val="005F3C4E"/>
    <w:rsid w:val="005F4849"/>
    <w:rsid w:val="005F4BC8"/>
    <w:rsid w:val="005F4F3D"/>
    <w:rsid w:val="005F66D7"/>
    <w:rsid w:val="005F72EF"/>
    <w:rsid w:val="005F744A"/>
    <w:rsid w:val="005F7C7B"/>
    <w:rsid w:val="00601794"/>
    <w:rsid w:val="006041D3"/>
    <w:rsid w:val="006055DF"/>
    <w:rsid w:val="00607568"/>
    <w:rsid w:val="0060756B"/>
    <w:rsid w:val="00607DD8"/>
    <w:rsid w:val="00610B3E"/>
    <w:rsid w:val="00614041"/>
    <w:rsid w:val="006162C8"/>
    <w:rsid w:val="0061773B"/>
    <w:rsid w:val="006178A4"/>
    <w:rsid w:val="00617DDE"/>
    <w:rsid w:val="00621C60"/>
    <w:rsid w:val="00622DF1"/>
    <w:rsid w:val="00625E09"/>
    <w:rsid w:val="006261F8"/>
    <w:rsid w:val="006263B4"/>
    <w:rsid w:val="006275D1"/>
    <w:rsid w:val="006275FA"/>
    <w:rsid w:val="00631397"/>
    <w:rsid w:val="00631824"/>
    <w:rsid w:val="00633AF3"/>
    <w:rsid w:val="006354BC"/>
    <w:rsid w:val="00635DD8"/>
    <w:rsid w:val="0063612B"/>
    <w:rsid w:val="00636A6D"/>
    <w:rsid w:val="006411D5"/>
    <w:rsid w:val="0064123A"/>
    <w:rsid w:val="00641F2F"/>
    <w:rsid w:val="006443E4"/>
    <w:rsid w:val="006446AA"/>
    <w:rsid w:val="00645095"/>
    <w:rsid w:val="00647782"/>
    <w:rsid w:val="00650D78"/>
    <w:rsid w:val="0065107B"/>
    <w:rsid w:val="00653245"/>
    <w:rsid w:val="0065553D"/>
    <w:rsid w:val="00656520"/>
    <w:rsid w:val="00657537"/>
    <w:rsid w:val="00657FCE"/>
    <w:rsid w:val="00660E8E"/>
    <w:rsid w:val="00660EBC"/>
    <w:rsid w:val="00661740"/>
    <w:rsid w:val="00663E3A"/>
    <w:rsid w:val="006649D9"/>
    <w:rsid w:val="006650D5"/>
    <w:rsid w:val="00665C7A"/>
    <w:rsid w:val="00666885"/>
    <w:rsid w:val="00667F42"/>
    <w:rsid w:val="00671DA9"/>
    <w:rsid w:val="0067441C"/>
    <w:rsid w:val="00675437"/>
    <w:rsid w:val="006761C2"/>
    <w:rsid w:val="00677EC5"/>
    <w:rsid w:val="00680CB9"/>
    <w:rsid w:val="0068160C"/>
    <w:rsid w:val="00682272"/>
    <w:rsid w:val="00683621"/>
    <w:rsid w:val="00684294"/>
    <w:rsid w:val="00686756"/>
    <w:rsid w:val="00686E75"/>
    <w:rsid w:val="006902F0"/>
    <w:rsid w:val="006905A5"/>
    <w:rsid w:val="006917BA"/>
    <w:rsid w:val="00693C86"/>
    <w:rsid w:val="00695B85"/>
    <w:rsid w:val="006A039B"/>
    <w:rsid w:val="006A55C2"/>
    <w:rsid w:val="006A5BA0"/>
    <w:rsid w:val="006B4701"/>
    <w:rsid w:val="006B5972"/>
    <w:rsid w:val="006B6944"/>
    <w:rsid w:val="006B71DF"/>
    <w:rsid w:val="006B7321"/>
    <w:rsid w:val="006C032C"/>
    <w:rsid w:val="006C11CF"/>
    <w:rsid w:val="006C1A4D"/>
    <w:rsid w:val="006C6B27"/>
    <w:rsid w:val="006C7E3D"/>
    <w:rsid w:val="006D2EE2"/>
    <w:rsid w:val="006D414F"/>
    <w:rsid w:val="006D484D"/>
    <w:rsid w:val="006D4B34"/>
    <w:rsid w:val="006D522F"/>
    <w:rsid w:val="006D5E37"/>
    <w:rsid w:val="006E0DFA"/>
    <w:rsid w:val="006E2827"/>
    <w:rsid w:val="006E3F3C"/>
    <w:rsid w:val="006E483F"/>
    <w:rsid w:val="006E4950"/>
    <w:rsid w:val="006E7638"/>
    <w:rsid w:val="006F1205"/>
    <w:rsid w:val="006F3D57"/>
    <w:rsid w:val="006F4BBD"/>
    <w:rsid w:val="006F516D"/>
    <w:rsid w:val="00701A2D"/>
    <w:rsid w:val="00702EE0"/>
    <w:rsid w:val="00705DCB"/>
    <w:rsid w:val="00706A5A"/>
    <w:rsid w:val="00707188"/>
    <w:rsid w:val="00711A2B"/>
    <w:rsid w:val="00711C50"/>
    <w:rsid w:val="007140BD"/>
    <w:rsid w:val="00714D80"/>
    <w:rsid w:val="0071618A"/>
    <w:rsid w:val="00716505"/>
    <w:rsid w:val="0072228C"/>
    <w:rsid w:val="007226ED"/>
    <w:rsid w:val="00722957"/>
    <w:rsid w:val="00722E22"/>
    <w:rsid w:val="00724261"/>
    <w:rsid w:val="00724422"/>
    <w:rsid w:val="00724BC4"/>
    <w:rsid w:val="00724C4F"/>
    <w:rsid w:val="00725825"/>
    <w:rsid w:val="00727501"/>
    <w:rsid w:val="0073075C"/>
    <w:rsid w:val="007357EA"/>
    <w:rsid w:val="00736359"/>
    <w:rsid w:val="0073658A"/>
    <w:rsid w:val="00740D0A"/>
    <w:rsid w:val="0074292B"/>
    <w:rsid w:val="00742966"/>
    <w:rsid w:val="007439F1"/>
    <w:rsid w:val="007443FD"/>
    <w:rsid w:val="00744B7D"/>
    <w:rsid w:val="00744C9D"/>
    <w:rsid w:val="00746597"/>
    <w:rsid w:val="00747725"/>
    <w:rsid w:val="00747DF9"/>
    <w:rsid w:val="00750A55"/>
    <w:rsid w:val="00752311"/>
    <w:rsid w:val="00753033"/>
    <w:rsid w:val="00754286"/>
    <w:rsid w:val="007543A2"/>
    <w:rsid w:val="00761EFA"/>
    <w:rsid w:val="00762F9B"/>
    <w:rsid w:val="00763325"/>
    <w:rsid w:val="007636A5"/>
    <w:rsid w:val="007637A2"/>
    <w:rsid w:val="00765476"/>
    <w:rsid w:val="00765484"/>
    <w:rsid w:val="007701EC"/>
    <w:rsid w:val="00770234"/>
    <w:rsid w:val="00770892"/>
    <w:rsid w:val="007718B1"/>
    <w:rsid w:val="0077236C"/>
    <w:rsid w:val="007747C3"/>
    <w:rsid w:val="007755B1"/>
    <w:rsid w:val="0077562D"/>
    <w:rsid w:val="00775B9D"/>
    <w:rsid w:val="00776140"/>
    <w:rsid w:val="0077765A"/>
    <w:rsid w:val="00780056"/>
    <w:rsid w:val="0078068A"/>
    <w:rsid w:val="00780EB3"/>
    <w:rsid w:val="00781028"/>
    <w:rsid w:val="007811D3"/>
    <w:rsid w:val="00781D9D"/>
    <w:rsid w:val="00783E31"/>
    <w:rsid w:val="0078581F"/>
    <w:rsid w:val="00790532"/>
    <w:rsid w:val="00790E25"/>
    <w:rsid w:val="00796030"/>
    <w:rsid w:val="00796849"/>
    <w:rsid w:val="00797708"/>
    <w:rsid w:val="007A0A8A"/>
    <w:rsid w:val="007A0F70"/>
    <w:rsid w:val="007A1CC8"/>
    <w:rsid w:val="007A21B5"/>
    <w:rsid w:val="007A22FB"/>
    <w:rsid w:val="007A382D"/>
    <w:rsid w:val="007A4FB9"/>
    <w:rsid w:val="007A7137"/>
    <w:rsid w:val="007B12D5"/>
    <w:rsid w:val="007B13FA"/>
    <w:rsid w:val="007B1E1E"/>
    <w:rsid w:val="007B20B7"/>
    <w:rsid w:val="007B451B"/>
    <w:rsid w:val="007B6A69"/>
    <w:rsid w:val="007B7304"/>
    <w:rsid w:val="007B7801"/>
    <w:rsid w:val="007B7DE2"/>
    <w:rsid w:val="007C00AD"/>
    <w:rsid w:val="007C03F9"/>
    <w:rsid w:val="007C08C9"/>
    <w:rsid w:val="007C1593"/>
    <w:rsid w:val="007C2DD4"/>
    <w:rsid w:val="007C4725"/>
    <w:rsid w:val="007C4756"/>
    <w:rsid w:val="007C5497"/>
    <w:rsid w:val="007C55D1"/>
    <w:rsid w:val="007D0468"/>
    <w:rsid w:val="007D09A6"/>
    <w:rsid w:val="007D0AB3"/>
    <w:rsid w:val="007D38DF"/>
    <w:rsid w:val="007D5F57"/>
    <w:rsid w:val="007D7BA7"/>
    <w:rsid w:val="007E05DC"/>
    <w:rsid w:val="007E0DF4"/>
    <w:rsid w:val="007E120B"/>
    <w:rsid w:val="007E15F3"/>
    <w:rsid w:val="007E1C76"/>
    <w:rsid w:val="007E2144"/>
    <w:rsid w:val="007E5688"/>
    <w:rsid w:val="007E7A47"/>
    <w:rsid w:val="007E7F46"/>
    <w:rsid w:val="007F1C53"/>
    <w:rsid w:val="007F5661"/>
    <w:rsid w:val="007F5B6A"/>
    <w:rsid w:val="007F66AC"/>
    <w:rsid w:val="007F750A"/>
    <w:rsid w:val="007F7AC2"/>
    <w:rsid w:val="00800CED"/>
    <w:rsid w:val="00801109"/>
    <w:rsid w:val="00804EDC"/>
    <w:rsid w:val="00806745"/>
    <w:rsid w:val="008072EF"/>
    <w:rsid w:val="00807A8D"/>
    <w:rsid w:val="00810105"/>
    <w:rsid w:val="00810393"/>
    <w:rsid w:val="008104B9"/>
    <w:rsid w:val="00812FFF"/>
    <w:rsid w:val="0081311C"/>
    <w:rsid w:val="0081340F"/>
    <w:rsid w:val="00813518"/>
    <w:rsid w:val="00814AAF"/>
    <w:rsid w:val="008152A5"/>
    <w:rsid w:val="008153FA"/>
    <w:rsid w:val="0081726F"/>
    <w:rsid w:val="008175AA"/>
    <w:rsid w:val="008204A7"/>
    <w:rsid w:val="008224C6"/>
    <w:rsid w:val="00824BC1"/>
    <w:rsid w:val="00825C30"/>
    <w:rsid w:val="008270B7"/>
    <w:rsid w:val="008273CD"/>
    <w:rsid w:val="00827622"/>
    <w:rsid w:val="00827F67"/>
    <w:rsid w:val="00831A1D"/>
    <w:rsid w:val="008320A4"/>
    <w:rsid w:val="00832A87"/>
    <w:rsid w:val="0083409F"/>
    <w:rsid w:val="0083455A"/>
    <w:rsid w:val="00834C2E"/>
    <w:rsid w:val="008356A0"/>
    <w:rsid w:val="00837238"/>
    <w:rsid w:val="00840571"/>
    <w:rsid w:val="008405E5"/>
    <w:rsid w:val="00841F97"/>
    <w:rsid w:val="00843193"/>
    <w:rsid w:val="00844A44"/>
    <w:rsid w:val="00844F23"/>
    <w:rsid w:val="008472DB"/>
    <w:rsid w:val="00847BEC"/>
    <w:rsid w:val="0085073D"/>
    <w:rsid w:val="00850976"/>
    <w:rsid w:val="00851112"/>
    <w:rsid w:val="00851A9A"/>
    <w:rsid w:val="00851C90"/>
    <w:rsid w:val="00851E2A"/>
    <w:rsid w:val="0085234F"/>
    <w:rsid w:val="008530C1"/>
    <w:rsid w:val="00854F82"/>
    <w:rsid w:val="0085698D"/>
    <w:rsid w:val="00857182"/>
    <w:rsid w:val="008573B6"/>
    <w:rsid w:val="00860266"/>
    <w:rsid w:val="00863065"/>
    <w:rsid w:val="00864C2A"/>
    <w:rsid w:val="00865E8B"/>
    <w:rsid w:val="00867ABF"/>
    <w:rsid w:val="00870469"/>
    <w:rsid w:val="00870A87"/>
    <w:rsid w:val="00873B09"/>
    <w:rsid w:val="008779E1"/>
    <w:rsid w:val="0088294D"/>
    <w:rsid w:val="00882D61"/>
    <w:rsid w:val="008835E3"/>
    <w:rsid w:val="0088414A"/>
    <w:rsid w:val="0088468F"/>
    <w:rsid w:val="00884709"/>
    <w:rsid w:val="00885860"/>
    <w:rsid w:val="00885BF1"/>
    <w:rsid w:val="00885C16"/>
    <w:rsid w:val="008864CD"/>
    <w:rsid w:val="00887EC9"/>
    <w:rsid w:val="008914A0"/>
    <w:rsid w:val="00893003"/>
    <w:rsid w:val="0089369D"/>
    <w:rsid w:val="00893A85"/>
    <w:rsid w:val="00894324"/>
    <w:rsid w:val="00895473"/>
    <w:rsid w:val="008964BA"/>
    <w:rsid w:val="0089712A"/>
    <w:rsid w:val="008A1447"/>
    <w:rsid w:val="008A1F8D"/>
    <w:rsid w:val="008A389B"/>
    <w:rsid w:val="008A3AC2"/>
    <w:rsid w:val="008A46CB"/>
    <w:rsid w:val="008A6CEA"/>
    <w:rsid w:val="008A7592"/>
    <w:rsid w:val="008A764B"/>
    <w:rsid w:val="008B1366"/>
    <w:rsid w:val="008B31BE"/>
    <w:rsid w:val="008B6C6E"/>
    <w:rsid w:val="008C3239"/>
    <w:rsid w:val="008C39DE"/>
    <w:rsid w:val="008C3E79"/>
    <w:rsid w:val="008C66E7"/>
    <w:rsid w:val="008C6993"/>
    <w:rsid w:val="008C72DA"/>
    <w:rsid w:val="008C75C6"/>
    <w:rsid w:val="008D0032"/>
    <w:rsid w:val="008D06CF"/>
    <w:rsid w:val="008D0F95"/>
    <w:rsid w:val="008D15C8"/>
    <w:rsid w:val="008D51C4"/>
    <w:rsid w:val="008D5D9A"/>
    <w:rsid w:val="008D63D7"/>
    <w:rsid w:val="008D749F"/>
    <w:rsid w:val="008E54D5"/>
    <w:rsid w:val="008E57D5"/>
    <w:rsid w:val="008E6D9D"/>
    <w:rsid w:val="008E6E64"/>
    <w:rsid w:val="008F0A85"/>
    <w:rsid w:val="008F123A"/>
    <w:rsid w:val="008F1638"/>
    <w:rsid w:val="008F1A85"/>
    <w:rsid w:val="008F24D4"/>
    <w:rsid w:val="008F4A43"/>
    <w:rsid w:val="008F4F1F"/>
    <w:rsid w:val="008F6ED9"/>
    <w:rsid w:val="00901D99"/>
    <w:rsid w:val="00902252"/>
    <w:rsid w:val="00902577"/>
    <w:rsid w:val="009030E7"/>
    <w:rsid w:val="0090417E"/>
    <w:rsid w:val="00904A94"/>
    <w:rsid w:val="00904C69"/>
    <w:rsid w:val="00906206"/>
    <w:rsid w:val="00906617"/>
    <w:rsid w:val="00906636"/>
    <w:rsid w:val="00906F2B"/>
    <w:rsid w:val="009125B5"/>
    <w:rsid w:val="00912B90"/>
    <w:rsid w:val="0091311B"/>
    <w:rsid w:val="009155D1"/>
    <w:rsid w:val="00915681"/>
    <w:rsid w:val="009165D7"/>
    <w:rsid w:val="009172FA"/>
    <w:rsid w:val="00921811"/>
    <w:rsid w:val="00922FA1"/>
    <w:rsid w:val="00923675"/>
    <w:rsid w:val="00924938"/>
    <w:rsid w:val="009250A0"/>
    <w:rsid w:val="009254AE"/>
    <w:rsid w:val="009256A1"/>
    <w:rsid w:val="00925CD2"/>
    <w:rsid w:val="00925DDE"/>
    <w:rsid w:val="00926C55"/>
    <w:rsid w:val="00926EC6"/>
    <w:rsid w:val="00927E9F"/>
    <w:rsid w:val="00934631"/>
    <w:rsid w:val="0093601C"/>
    <w:rsid w:val="009367F5"/>
    <w:rsid w:val="00937C4F"/>
    <w:rsid w:val="00940609"/>
    <w:rsid w:val="009411D4"/>
    <w:rsid w:val="00944388"/>
    <w:rsid w:val="00944B61"/>
    <w:rsid w:val="00946E91"/>
    <w:rsid w:val="00947F22"/>
    <w:rsid w:val="00951CAD"/>
    <w:rsid w:val="009549C9"/>
    <w:rsid w:val="009549E8"/>
    <w:rsid w:val="00954ACF"/>
    <w:rsid w:val="00954BFC"/>
    <w:rsid w:val="00955343"/>
    <w:rsid w:val="00956885"/>
    <w:rsid w:val="009618DF"/>
    <w:rsid w:val="0096222A"/>
    <w:rsid w:val="009625C0"/>
    <w:rsid w:val="00963F66"/>
    <w:rsid w:val="00964164"/>
    <w:rsid w:val="00966210"/>
    <w:rsid w:val="00966B1B"/>
    <w:rsid w:val="0096760D"/>
    <w:rsid w:val="009718CE"/>
    <w:rsid w:val="0097263E"/>
    <w:rsid w:val="00972848"/>
    <w:rsid w:val="00973978"/>
    <w:rsid w:val="0097575B"/>
    <w:rsid w:val="00975EF2"/>
    <w:rsid w:val="009818D9"/>
    <w:rsid w:val="00981D65"/>
    <w:rsid w:val="00982661"/>
    <w:rsid w:val="00982B33"/>
    <w:rsid w:val="009858C4"/>
    <w:rsid w:val="00985987"/>
    <w:rsid w:val="00985A51"/>
    <w:rsid w:val="00985B5F"/>
    <w:rsid w:val="00986736"/>
    <w:rsid w:val="0099091D"/>
    <w:rsid w:val="00990DF8"/>
    <w:rsid w:val="009927C4"/>
    <w:rsid w:val="00992BF7"/>
    <w:rsid w:val="00992E05"/>
    <w:rsid w:val="009932FB"/>
    <w:rsid w:val="00993DF2"/>
    <w:rsid w:val="0099538B"/>
    <w:rsid w:val="00995EB3"/>
    <w:rsid w:val="00995F2D"/>
    <w:rsid w:val="00996B76"/>
    <w:rsid w:val="00997066"/>
    <w:rsid w:val="00997C66"/>
    <w:rsid w:val="009A0010"/>
    <w:rsid w:val="009A0B63"/>
    <w:rsid w:val="009A12A6"/>
    <w:rsid w:val="009A18E6"/>
    <w:rsid w:val="009A228C"/>
    <w:rsid w:val="009A22D7"/>
    <w:rsid w:val="009A42EE"/>
    <w:rsid w:val="009B0FB7"/>
    <w:rsid w:val="009B297B"/>
    <w:rsid w:val="009B36CB"/>
    <w:rsid w:val="009B4EB6"/>
    <w:rsid w:val="009B6078"/>
    <w:rsid w:val="009B6B49"/>
    <w:rsid w:val="009C0631"/>
    <w:rsid w:val="009C3121"/>
    <w:rsid w:val="009C3185"/>
    <w:rsid w:val="009C6824"/>
    <w:rsid w:val="009C71F4"/>
    <w:rsid w:val="009D073B"/>
    <w:rsid w:val="009D1320"/>
    <w:rsid w:val="009D161C"/>
    <w:rsid w:val="009D1A26"/>
    <w:rsid w:val="009D3C05"/>
    <w:rsid w:val="009D64CB"/>
    <w:rsid w:val="009D6E01"/>
    <w:rsid w:val="009E1173"/>
    <w:rsid w:val="009E17AF"/>
    <w:rsid w:val="009E2596"/>
    <w:rsid w:val="009E2C7C"/>
    <w:rsid w:val="009E489A"/>
    <w:rsid w:val="009E5ED6"/>
    <w:rsid w:val="009E6704"/>
    <w:rsid w:val="009E7A54"/>
    <w:rsid w:val="009E7C92"/>
    <w:rsid w:val="009F0BCB"/>
    <w:rsid w:val="009F292D"/>
    <w:rsid w:val="009F366B"/>
    <w:rsid w:val="009F3DAC"/>
    <w:rsid w:val="009F5B06"/>
    <w:rsid w:val="009F6667"/>
    <w:rsid w:val="009F706B"/>
    <w:rsid w:val="00A00596"/>
    <w:rsid w:val="00A01407"/>
    <w:rsid w:val="00A01764"/>
    <w:rsid w:val="00A01E1A"/>
    <w:rsid w:val="00A0214D"/>
    <w:rsid w:val="00A031C7"/>
    <w:rsid w:val="00A04027"/>
    <w:rsid w:val="00A051B2"/>
    <w:rsid w:val="00A10CED"/>
    <w:rsid w:val="00A10DCA"/>
    <w:rsid w:val="00A11A2F"/>
    <w:rsid w:val="00A11DD5"/>
    <w:rsid w:val="00A11F3E"/>
    <w:rsid w:val="00A13F62"/>
    <w:rsid w:val="00A1415F"/>
    <w:rsid w:val="00A145F2"/>
    <w:rsid w:val="00A15848"/>
    <w:rsid w:val="00A16F54"/>
    <w:rsid w:val="00A200F9"/>
    <w:rsid w:val="00A214CE"/>
    <w:rsid w:val="00A21565"/>
    <w:rsid w:val="00A247BB"/>
    <w:rsid w:val="00A252B8"/>
    <w:rsid w:val="00A25B24"/>
    <w:rsid w:val="00A266FA"/>
    <w:rsid w:val="00A26E41"/>
    <w:rsid w:val="00A27AB2"/>
    <w:rsid w:val="00A30D14"/>
    <w:rsid w:val="00A32244"/>
    <w:rsid w:val="00A3297F"/>
    <w:rsid w:val="00A35AB3"/>
    <w:rsid w:val="00A35B63"/>
    <w:rsid w:val="00A36E79"/>
    <w:rsid w:val="00A374D4"/>
    <w:rsid w:val="00A414EC"/>
    <w:rsid w:val="00A43B52"/>
    <w:rsid w:val="00A43EA0"/>
    <w:rsid w:val="00A44A88"/>
    <w:rsid w:val="00A45813"/>
    <w:rsid w:val="00A45D56"/>
    <w:rsid w:val="00A4621B"/>
    <w:rsid w:val="00A4688A"/>
    <w:rsid w:val="00A47828"/>
    <w:rsid w:val="00A505D8"/>
    <w:rsid w:val="00A507C9"/>
    <w:rsid w:val="00A514D6"/>
    <w:rsid w:val="00A52887"/>
    <w:rsid w:val="00A56991"/>
    <w:rsid w:val="00A56A20"/>
    <w:rsid w:val="00A56F90"/>
    <w:rsid w:val="00A6062D"/>
    <w:rsid w:val="00A6067B"/>
    <w:rsid w:val="00A60A77"/>
    <w:rsid w:val="00A60B4B"/>
    <w:rsid w:val="00A611CB"/>
    <w:rsid w:val="00A62C19"/>
    <w:rsid w:val="00A63B90"/>
    <w:rsid w:val="00A6712C"/>
    <w:rsid w:val="00A67D47"/>
    <w:rsid w:val="00A70E34"/>
    <w:rsid w:val="00A7115D"/>
    <w:rsid w:val="00A73B4B"/>
    <w:rsid w:val="00A73EE9"/>
    <w:rsid w:val="00A75609"/>
    <w:rsid w:val="00A75D7E"/>
    <w:rsid w:val="00A76B3C"/>
    <w:rsid w:val="00A82131"/>
    <w:rsid w:val="00A84B1F"/>
    <w:rsid w:val="00A86239"/>
    <w:rsid w:val="00A87105"/>
    <w:rsid w:val="00A90A15"/>
    <w:rsid w:val="00A93198"/>
    <w:rsid w:val="00A95112"/>
    <w:rsid w:val="00A96AAA"/>
    <w:rsid w:val="00A96D75"/>
    <w:rsid w:val="00AA1497"/>
    <w:rsid w:val="00AA37F0"/>
    <w:rsid w:val="00AA468F"/>
    <w:rsid w:val="00AA5096"/>
    <w:rsid w:val="00AA605A"/>
    <w:rsid w:val="00AA761B"/>
    <w:rsid w:val="00AA78B4"/>
    <w:rsid w:val="00AA7CB3"/>
    <w:rsid w:val="00AA7E25"/>
    <w:rsid w:val="00AB1AB2"/>
    <w:rsid w:val="00AB2EF1"/>
    <w:rsid w:val="00AB34CE"/>
    <w:rsid w:val="00AB3FB6"/>
    <w:rsid w:val="00AB416A"/>
    <w:rsid w:val="00AB4ABA"/>
    <w:rsid w:val="00AB5630"/>
    <w:rsid w:val="00AB5700"/>
    <w:rsid w:val="00AB5777"/>
    <w:rsid w:val="00AC12DE"/>
    <w:rsid w:val="00AC2E28"/>
    <w:rsid w:val="00AC4144"/>
    <w:rsid w:val="00AC425A"/>
    <w:rsid w:val="00AC49AD"/>
    <w:rsid w:val="00AC52E7"/>
    <w:rsid w:val="00AC7B29"/>
    <w:rsid w:val="00AD0A7C"/>
    <w:rsid w:val="00AD3032"/>
    <w:rsid w:val="00AD3774"/>
    <w:rsid w:val="00AD45AA"/>
    <w:rsid w:val="00AD7FB1"/>
    <w:rsid w:val="00AE1BA9"/>
    <w:rsid w:val="00AE20A2"/>
    <w:rsid w:val="00AE3B56"/>
    <w:rsid w:val="00AE4718"/>
    <w:rsid w:val="00AE4B50"/>
    <w:rsid w:val="00AE534F"/>
    <w:rsid w:val="00AE627C"/>
    <w:rsid w:val="00AE66FB"/>
    <w:rsid w:val="00AF060D"/>
    <w:rsid w:val="00AF25C4"/>
    <w:rsid w:val="00AF295E"/>
    <w:rsid w:val="00AF3AEE"/>
    <w:rsid w:val="00AF3D35"/>
    <w:rsid w:val="00AF4769"/>
    <w:rsid w:val="00AF4B43"/>
    <w:rsid w:val="00AF5B5F"/>
    <w:rsid w:val="00AF5F87"/>
    <w:rsid w:val="00AF670E"/>
    <w:rsid w:val="00AF6B4F"/>
    <w:rsid w:val="00AF7BA9"/>
    <w:rsid w:val="00AF7E6C"/>
    <w:rsid w:val="00B00A1A"/>
    <w:rsid w:val="00B00E8B"/>
    <w:rsid w:val="00B06932"/>
    <w:rsid w:val="00B07675"/>
    <w:rsid w:val="00B100BF"/>
    <w:rsid w:val="00B14189"/>
    <w:rsid w:val="00B1571F"/>
    <w:rsid w:val="00B16DCD"/>
    <w:rsid w:val="00B20C38"/>
    <w:rsid w:val="00B20D94"/>
    <w:rsid w:val="00B214FD"/>
    <w:rsid w:val="00B224ED"/>
    <w:rsid w:val="00B22649"/>
    <w:rsid w:val="00B26505"/>
    <w:rsid w:val="00B307AC"/>
    <w:rsid w:val="00B31882"/>
    <w:rsid w:val="00B34D7B"/>
    <w:rsid w:val="00B35884"/>
    <w:rsid w:val="00B359EA"/>
    <w:rsid w:val="00B35AFA"/>
    <w:rsid w:val="00B36332"/>
    <w:rsid w:val="00B36A00"/>
    <w:rsid w:val="00B37404"/>
    <w:rsid w:val="00B374BC"/>
    <w:rsid w:val="00B376DC"/>
    <w:rsid w:val="00B37AF7"/>
    <w:rsid w:val="00B37D6E"/>
    <w:rsid w:val="00B406F6"/>
    <w:rsid w:val="00B4575C"/>
    <w:rsid w:val="00B4630E"/>
    <w:rsid w:val="00B465A9"/>
    <w:rsid w:val="00B467CD"/>
    <w:rsid w:val="00B46858"/>
    <w:rsid w:val="00B469D4"/>
    <w:rsid w:val="00B47B83"/>
    <w:rsid w:val="00B523F3"/>
    <w:rsid w:val="00B52677"/>
    <w:rsid w:val="00B52693"/>
    <w:rsid w:val="00B5520E"/>
    <w:rsid w:val="00B56DDB"/>
    <w:rsid w:val="00B57586"/>
    <w:rsid w:val="00B60824"/>
    <w:rsid w:val="00B61AB0"/>
    <w:rsid w:val="00B61EB7"/>
    <w:rsid w:val="00B66A5B"/>
    <w:rsid w:val="00B66CCB"/>
    <w:rsid w:val="00B70DAB"/>
    <w:rsid w:val="00B71B3D"/>
    <w:rsid w:val="00B72065"/>
    <w:rsid w:val="00B72C1A"/>
    <w:rsid w:val="00B7379C"/>
    <w:rsid w:val="00B74923"/>
    <w:rsid w:val="00B761A1"/>
    <w:rsid w:val="00B76E1B"/>
    <w:rsid w:val="00B7768D"/>
    <w:rsid w:val="00B778E8"/>
    <w:rsid w:val="00B809B5"/>
    <w:rsid w:val="00B8172B"/>
    <w:rsid w:val="00B819D6"/>
    <w:rsid w:val="00B83E12"/>
    <w:rsid w:val="00B85501"/>
    <w:rsid w:val="00B85621"/>
    <w:rsid w:val="00B857B7"/>
    <w:rsid w:val="00B86373"/>
    <w:rsid w:val="00B8696A"/>
    <w:rsid w:val="00B871F1"/>
    <w:rsid w:val="00B87313"/>
    <w:rsid w:val="00B876BE"/>
    <w:rsid w:val="00B87CAC"/>
    <w:rsid w:val="00B87E1D"/>
    <w:rsid w:val="00B91C61"/>
    <w:rsid w:val="00B9280A"/>
    <w:rsid w:val="00B9373E"/>
    <w:rsid w:val="00B943A3"/>
    <w:rsid w:val="00B94B7A"/>
    <w:rsid w:val="00B95790"/>
    <w:rsid w:val="00B95CA3"/>
    <w:rsid w:val="00B97EED"/>
    <w:rsid w:val="00BA0E95"/>
    <w:rsid w:val="00BA1395"/>
    <w:rsid w:val="00BA23F0"/>
    <w:rsid w:val="00BA3DBC"/>
    <w:rsid w:val="00BA4713"/>
    <w:rsid w:val="00BA47CC"/>
    <w:rsid w:val="00BA5151"/>
    <w:rsid w:val="00BA563F"/>
    <w:rsid w:val="00BA57C0"/>
    <w:rsid w:val="00BA597B"/>
    <w:rsid w:val="00BA7116"/>
    <w:rsid w:val="00BB2079"/>
    <w:rsid w:val="00BB229E"/>
    <w:rsid w:val="00BB2B44"/>
    <w:rsid w:val="00BB2FBF"/>
    <w:rsid w:val="00BB5125"/>
    <w:rsid w:val="00BB557B"/>
    <w:rsid w:val="00BB584A"/>
    <w:rsid w:val="00BB6C6D"/>
    <w:rsid w:val="00BB754C"/>
    <w:rsid w:val="00BB7797"/>
    <w:rsid w:val="00BB7A8A"/>
    <w:rsid w:val="00BC524C"/>
    <w:rsid w:val="00BD3C91"/>
    <w:rsid w:val="00BD4642"/>
    <w:rsid w:val="00BD4AF4"/>
    <w:rsid w:val="00BD4DD8"/>
    <w:rsid w:val="00BD69BF"/>
    <w:rsid w:val="00BD7AE0"/>
    <w:rsid w:val="00BD7BA4"/>
    <w:rsid w:val="00BE1D05"/>
    <w:rsid w:val="00BE320E"/>
    <w:rsid w:val="00BE56C0"/>
    <w:rsid w:val="00BF0CA7"/>
    <w:rsid w:val="00BF1482"/>
    <w:rsid w:val="00BF2377"/>
    <w:rsid w:val="00BF249C"/>
    <w:rsid w:val="00BF3E82"/>
    <w:rsid w:val="00BF52AD"/>
    <w:rsid w:val="00BF581A"/>
    <w:rsid w:val="00BF681B"/>
    <w:rsid w:val="00BF7CC1"/>
    <w:rsid w:val="00C003FE"/>
    <w:rsid w:val="00C00A45"/>
    <w:rsid w:val="00C01C5F"/>
    <w:rsid w:val="00C02185"/>
    <w:rsid w:val="00C03F60"/>
    <w:rsid w:val="00C04528"/>
    <w:rsid w:val="00C049FF"/>
    <w:rsid w:val="00C06BE2"/>
    <w:rsid w:val="00C11966"/>
    <w:rsid w:val="00C11FF4"/>
    <w:rsid w:val="00C12462"/>
    <w:rsid w:val="00C12AF5"/>
    <w:rsid w:val="00C1459D"/>
    <w:rsid w:val="00C14F4D"/>
    <w:rsid w:val="00C15B7D"/>
    <w:rsid w:val="00C16509"/>
    <w:rsid w:val="00C17FF6"/>
    <w:rsid w:val="00C201F0"/>
    <w:rsid w:val="00C21592"/>
    <w:rsid w:val="00C219B9"/>
    <w:rsid w:val="00C21B14"/>
    <w:rsid w:val="00C231E5"/>
    <w:rsid w:val="00C270C3"/>
    <w:rsid w:val="00C3234B"/>
    <w:rsid w:val="00C32739"/>
    <w:rsid w:val="00C32E78"/>
    <w:rsid w:val="00C34253"/>
    <w:rsid w:val="00C3598B"/>
    <w:rsid w:val="00C366FF"/>
    <w:rsid w:val="00C4020F"/>
    <w:rsid w:val="00C416A1"/>
    <w:rsid w:val="00C42970"/>
    <w:rsid w:val="00C43115"/>
    <w:rsid w:val="00C43EF5"/>
    <w:rsid w:val="00C45214"/>
    <w:rsid w:val="00C4643D"/>
    <w:rsid w:val="00C46A50"/>
    <w:rsid w:val="00C47E29"/>
    <w:rsid w:val="00C50815"/>
    <w:rsid w:val="00C51374"/>
    <w:rsid w:val="00C517AC"/>
    <w:rsid w:val="00C6044D"/>
    <w:rsid w:val="00C605AD"/>
    <w:rsid w:val="00C62C0E"/>
    <w:rsid w:val="00C64888"/>
    <w:rsid w:val="00C65400"/>
    <w:rsid w:val="00C65B1D"/>
    <w:rsid w:val="00C66120"/>
    <w:rsid w:val="00C66E6F"/>
    <w:rsid w:val="00C70B53"/>
    <w:rsid w:val="00C72DFE"/>
    <w:rsid w:val="00C733DA"/>
    <w:rsid w:val="00C80412"/>
    <w:rsid w:val="00C80E4B"/>
    <w:rsid w:val="00C820B8"/>
    <w:rsid w:val="00C82F24"/>
    <w:rsid w:val="00C85049"/>
    <w:rsid w:val="00C85D0B"/>
    <w:rsid w:val="00C86043"/>
    <w:rsid w:val="00C86F71"/>
    <w:rsid w:val="00C87E2E"/>
    <w:rsid w:val="00C9058B"/>
    <w:rsid w:val="00C9139C"/>
    <w:rsid w:val="00C9330A"/>
    <w:rsid w:val="00C934D9"/>
    <w:rsid w:val="00C94BDF"/>
    <w:rsid w:val="00C94D2D"/>
    <w:rsid w:val="00C96BD8"/>
    <w:rsid w:val="00C96E66"/>
    <w:rsid w:val="00C97471"/>
    <w:rsid w:val="00C9798D"/>
    <w:rsid w:val="00CA0632"/>
    <w:rsid w:val="00CA15B1"/>
    <w:rsid w:val="00CA1AFE"/>
    <w:rsid w:val="00CA20B2"/>
    <w:rsid w:val="00CA21EB"/>
    <w:rsid w:val="00CA74A2"/>
    <w:rsid w:val="00CB094E"/>
    <w:rsid w:val="00CB14B2"/>
    <w:rsid w:val="00CB198C"/>
    <w:rsid w:val="00CB19BB"/>
    <w:rsid w:val="00CB276D"/>
    <w:rsid w:val="00CB29F0"/>
    <w:rsid w:val="00CB3AAA"/>
    <w:rsid w:val="00CB3C73"/>
    <w:rsid w:val="00CB3F94"/>
    <w:rsid w:val="00CB4678"/>
    <w:rsid w:val="00CB5755"/>
    <w:rsid w:val="00CC0192"/>
    <w:rsid w:val="00CC5D71"/>
    <w:rsid w:val="00CC700C"/>
    <w:rsid w:val="00CC741E"/>
    <w:rsid w:val="00CD0B09"/>
    <w:rsid w:val="00CD2B4D"/>
    <w:rsid w:val="00CD5213"/>
    <w:rsid w:val="00CD5F06"/>
    <w:rsid w:val="00CD788A"/>
    <w:rsid w:val="00CE0018"/>
    <w:rsid w:val="00CE228A"/>
    <w:rsid w:val="00CE31C3"/>
    <w:rsid w:val="00CE3303"/>
    <w:rsid w:val="00CE6EE9"/>
    <w:rsid w:val="00CE785A"/>
    <w:rsid w:val="00CF0384"/>
    <w:rsid w:val="00CF10AE"/>
    <w:rsid w:val="00CF1DF1"/>
    <w:rsid w:val="00CF2AE0"/>
    <w:rsid w:val="00CF5C69"/>
    <w:rsid w:val="00CF5DB8"/>
    <w:rsid w:val="00CF68CC"/>
    <w:rsid w:val="00CF6FF1"/>
    <w:rsid w:val="00CF78E8"/>
    <w:rsid w:val="00CF7B7B"/>
    <w:rsid w:val="00D01C64"/>
    <w:rsid w:val="00D02C19"/>
    <w:rsid w:val="00D04601"/>
    <w:rsid w:val="00D04A75"/>
    <w:rsid w:val="00D0579C"/>
    <w:rsid w:val="00D05ACC"/>
    <w:rsid w:val="00D0665A"/>
    <w:rsid w:val="00D07058"/>
    <w:rsid w:val="00D1024A"/>
    <w:rsid w:val="00D106F6"/>
    <w:rsid w:val="00D11C0F"/>
    <w:rsid w:val="00D13809"/>
    <w:rsid w:val="00D1674D"/>
    <w:rsid w:val="00D16827"/>
    <w:rsid w:val="00D16E73"/>
    <w:rsid w:val="00D20169"/>
    <w:rsid w:val="00D21A85"/>
    <w:rsid w:val="00D2200A"/>
    <w:rsid w:val="00D23787"/>
    <w:rsid w:val="00D23DF4"/>
    <w:rsid w:val="00D32C02"/>
    <w:rsid w:val="00D339E7"/>
    <w:rsid w:val="00D35073"/>
    <w:rsid w:val="00D36DBB"/>
    <w:rsid w:val="00D377D0"/>
    <w:rsid w:val="00D416FF"/>
    <w:rsid w:val="00D41CD9"/>
    <w:rsid w:val="00D4207D"/>
    <w:rsid w:val="00D42234"/>
    <w:rsid w:val="00D42B5E"/>
    <w:rsid w:val="00D43A44"/>
    <w:rsid w:val="00D45E31"/>
    <w:rsid w:val="00D51009"/>
    <w:rsid w:val="00D51BB3"/>
    <w:rsid w:val="00D54593"/>
    <w:rsid w:val="00D546FB"/>
    <w:rsid w:val="00D54992"/>
    <w:rsid w:val="00D5507A"/>
    <w:rsid w:val="00D56BDF"/>
    <w:rsid w:val="00D56CBB"/>
    <w:rsid w:val="00D606D8"/>
    <w:rsid w:val="00D61F90"/>
    <w:rsid w:val="00D64569"/>
    <w:rsid w:val="00D64F5D"/>
    <w:rsid w:val="00D65190"/>
    <w:rsid w:val="00D67143"/>
    <w:rsid w:val="00D67AD5"/>
    <w:rsid w:val="00D700E1"/>
    <w:rsid w:val="00D718AD"/>
    <w:rsid w:val="00D726E3"/>
    <w:rsid w:val="00D74B08"/>
    <w:rsid w:val="00D74F41"/>
    <w:rsid w:val="00D76130"/>
    <w:rsid w:val="00D76788"/>
    <w:rsid w:val="00D770C1"/>
    <w:rsid w:val="00D8252A"/>
    <w:rsid w:val="00D83AC4"/>
    <w:rsid w:val="00D84233"/>
    <w:rsid w:val="00D84B44"/>
    <w:rsid w:val="00D84E93"/>
    <w:rsid w:val="00D8698B"/>
    <w:rsid w:val="00D87C8F"/>
    <w:rsid w:val="00D87CCA"/>
    <w:rsid w:val="00D906CA"/>
    <w:rsid w:val="00D90B1F"/>
    <w:rsid w:val="00D91138"/>
    <w:rsid w:val="00D93A0A"/>
    <w:rsid w:val="00D93F35"/>
    <w:rsid w:val="00D9418F"/>
    <w:rsid w:val="00D94E84"/>
    <w:rsid w:val="00D95480"/>
    <w:rsid w:val="00D96C77"/>
    <w:rsid w:val="00D96D75"/>
    <w:rsid w:val="00D9727B"/>
    <w:rsid w:val="00D973DD"/>
    <w:rsid w:val="00DA217B"/>
    <w:rsid w:val="00DA2E6F"/>
    <w:rsid w:val="00DA5F08"/>
    <w:rsid w:val="00DA739D"/>
    <w:rsid w:val="00DA74D8"/>
    <w:rsid w:val="00DB17F3"/>
    <w:rsid w:val="00DB21DB"/>
    <w:rsid w:val="00DB3125"/>
    <w:rsid w:val="00DB4CD9"/>
    <w:rsid w:val="00DB4FA4"/>
    <w:rsid w:val="00DB585C"/>
    <w:rsid w:val="00DB6507"/>
    <w:rsid w:val="00DB76B7"/>
    <w:rsid w:val="00DB7EEB"/>
    <w:rsid w:val="00DC1EC9"/>
    <w:rsid w:val="00DC287E"/>
    <w:rsid w:val="00DC324A"/>
    <w:rsid w:val="00DC361F"/>
    <w:rsid w:val="00DC4836"/>
    <w:rsid w:val="00DC501E"/>
    <w:rsid w:val="00DC5441"/>
    <w:rsid w:val="00DC5AD9"/>
    <w:rsid w:val="00DC5F3D"/>
    <w:rsid w:val="00DD0CFB"/>
    <w:rsid w:val="00DD37DC"/>
    <w:rsid w:val="00DD3883"/>
    <w:rsid w:val="00DD5A8F"/>
    <w:rsid w:val="00DD5E8B"/>
    <w:rsid w:val="00DD749C"/>
    <w:rsid w:val="00DD7918"/>
    <w:rsid w:val="00DD7B7C"/>
    <w:rsid w:val="00DE027E"/>
    <w:rsid w:val="00DE0345"/>
    <w:rsid w:val="00DE08EA"/>
    <w:rsid w:val="00DE2A8B"/>
    <w:rsid w:val="00DE313F"/>
    <w:rsid w:val="00DE350C"/>
    <w:rsid w:val="00DE492A"/>
    <w:rsid w:val="00DE5912"/>
    <w:rsid w:val="00DE6AE8"/>
    <w:rsid w:val="00DF026C"/>
    <w:rsid w:val="00DF0612"/>
    <w:rsid w:val="00DF0C3B"/>
    <w:rsid w:val="00DF2A8C"/>
    <w:rsid w:val="00DF32DE"/>
    <w:rsid w:val="00DF45A0"/>
    <w:rsid w:val="00DF5687"/>
    <w:rsid w:val="00DF588E"/>
    <w:rsid w:val="00DF7B65"/>
    <w:rsid w:val="00E0362F"/>
    <w:rsid w:val="00E0447F"/>
    <w:rsid w:val="00E053EB"/>
    <w:rsid w:val="00E0631E"/>
    <w:rsid w:val="00E069DB"/>
    <w:rsid w:val="00E06C38"/>
    <w:rsid w:val="00E12BD4"/>
    <w:rsid w:val="00E15057"/>
    <w:rsid w:val="00E1506E"/>
    <w:rsid w:val="00E15A05"/>
    <w:rsid w:val="00E16DA5"/>
    <w:rsid w:val="00E17760"/>
    <w:rsid w:val="00E20FB7"/>
    <w:rsid w:val="00E22576"/>
    <w:rsid w:val="00E23490"/>
    <w:rsid w:val="00E26091"/>
    <w:rsid w:val="00E275EA"/>
    <w:rsid w:val="00E27B13"/>
    <w:rsid w:val="00E3155E"/>
    <w:rsid w:val="00E316E6"/>
    <w:rsid w:val="00E317A5"/>
    <w:rsid w:val="00E32767"/>
    <w:rsid w:val="00E32CC3"/>
    <w:rsid w:val="00E3399B"/>
    <w:rsid w:val="00E339E5"/>
    <w:rsid w:val="00E35E13"/>
    <w:rsid w:val="00E368E8"/>
    <w:rsid w:val="00E37AC0"/>
    <w:rsid w:val="00E37C04"/>
    <w:rsid w:val="00E427DA"/>
    <w:rsid w:val="00E42EB0"/>
    <w:rsid w:val="00E43CD5"/>
    <w:rsid w:val="00E456E2"/>
    <w:rsid w:val="00E46680"/>
    <w:rsid w:val="00E47E4C"/>
    <w:rsid w:val="00E510E6"/>
    <w:rsid w:val="00E51705"/>
    <w:rsid w:val="00E520BE"/>
    <w:rsid w:val="00E52EC5"/>
    <w:rsid w:val="00E52F55"/>
    <w:rsid w:val="00E54C7C"/>
    <w:rsid w:val="00E54E79"/>
    <w:rsid w:val="00E559B1"/>
    <w:rsid w:val="00E57172"/>
    <w:rsid w:val="00E57D0D"/>
    <w:rsid w:val="00E60606"/>
    <w:rsid w:val="00E60627"/>
    <w:rsid w:val="00E624F1"/>
    <w:rsid w:val="00E631AE"/>
    <w:rsid w:val="00E73BBC"/>
    <w:rsid w:val="00E74169"/>
    <w:rsid w:val="00E74A9E"/>
    <w:rsid w:val="00E74E4B"/>
    <w:rsid w:val="00E7550B"/>
    <w:rsid w:val="00E7568E"/>
    <w:rsid w:val="00E76C67"/>
    <w:rsid w:val="00E778EB"/>
    <w:rsid w:val="00E80823"/>
    <w:rsid w:val="00E8094A"/>
    <w:rsid w:val="00E80AC7"/>
    <w:rsid w:val="00E83578"/>
    <w:rsid w:val="00E84119"/>
    <w:rsid w:val="00E85C68"/>
    <w:rsid w:val="00E9215D"/>
    <w:rsid w:val="00E923A8"/>
    <w:rsid w:val="00E92F06"/>
    <w:rsid w:val="00E936CD"/>
    <w:rsid w:val="00E9713D"/>
    <w:rsid w:val="00E9736E"/>
    <w:rsid w:val="00E978D6"/>
    <w:rsid w:val="00E97CDD"/>
    <w:rsid w:val="00EA01C1"/>
    <w:rsid w:val="00EA40BE"/>
    <w:rsid w:val="00EA455B"/>
    <w:rsid w:val="00EA45DA"/>
    <w:rsid w:val="00EA4A34"/>
    <w:rsid w:val="00EA5DB9"/>
    <w:rsid w:val="00EA63BE"/>
    <w:rsid w:val="00EA65FB"/>
    <w:rsid w:val="00EA6DC7"/>
    <w:rsid w:val="00EB15AF"/>
    <w:rsid w:val="00EB3D74"/>
    <w:rsid w:val="00EB41D5"/>
    <w:rsid w:val="00EB6B68"/>
    <w:rsid w:val="00EB75A5"/>
    <w:rsid w:val="00EB783A"/>
    <w:rsid w:val="00EC0243"/>
    <w:rsid w:val="00EC051F"/>
    <w:rsid w:val="00EC0533"/>
    <w:rsid w:val="00EC12A8"/>
    <w:rsid w:val="00EC57F9"/>
    <w:rsid w:val="00EC792D"/>
    <w:rsid w:val="00ED13C5"/>
    <w:rsid w:val="00ED1B6E"/>
    <w:rsid w:val="00ED204B"/>
    <w:rsid w:val="00ED3DD9"/>
    <w:rsid w:val="00ED3E7F"/>
    <w:rsid w:val="00ED4BF3"/>
    <w:rsid w:val="00ED4EF3"/>
    <w:rsid w:val="00ED5B38"/>
    <w:rsid w:val="00ED72E3"/>
    <w:rsid w:val="00EE269B"/>
    <w:rsid w:val="00EE3C8A"/>
    <w:rsid w:val="00EE3F02"/>
    <w:rsid w:val="00EE53A6"/>
    <w:rsid w:val="00EE7267"/>
    <w:rsid w:val="00EF0904"/>
    <w:rsid w:val="00EF1CF4"/>
    <w:rsid w:val="00EF390B"/>
    <w:rsid w:val="00EF3A1D"/>
    <w:rsid w:val="00EF6CFF"/>
    <w:rsid w:val="00EF7C61"/>
    <w:rsid w:val="00F01B9C"/>
    <w:rsid w:val="00F03AE6"/>
    <w:rsid w:val="00F04B3C"/>
    <w:rsid w:val="00F04CB6"/>
    <w:rsid w:val="00F061DA"/>
    <w:rsid w:val="00F125BF"/>
    <w:rsid w:val="00F13875"/>
    <w:rsid w:val="00F139BC"/>
    <w:rsid w:val="00F149C6"/>
    <w:rsid w:val="00F207C3"/>
    <w:rsid w:val="00F2101E"/>
    <w:rsid w:val="00F2178E"/>
    <w:rsid w:val="00F228C9"/>
    <w:rsid w:val="00F24407"/>
    <w:rsid w:val="00F2679E"/>
    <w:rsid w:val="00F26841"/>
    <w:rsid w:val="00F30ADA"/>
    <w:rsid w:val="00F3167C"/>
    <w:rsid w:val="00F3243E"/>
    <w:rsid w:val="00F3364D"/>
    <w:rsid w:val="00F339DC"/>
    <w:rsid w:val="00F34D4E"/>
    <w:rsid w:val="00F369D7"/>
    <w:rsid w:val="00F373A1"/>
    <w:rsid w:val="00F37437"/>
    <w:rsid w:val="00F37C1B"/>
    <w:rsid w:val="00F401C8"/>
    <w:rsid w:val="00F404C3"/>
    <w:rsid w:val="00F408F5"/>
    <w:rsid w:val="00F40B78"/>
    <w:rsid w:val="00F40CFC"/>
    <w:rsid w:val="00F41A7F"/>
    <w:rsid w:val="00F42209"/>
    <w:rsid w:val="00F438B6"/>
    <w:rsid w:val="00F452A3"/>
    <w:rsid w:val="00F46C79"/>
    <w:rsid w:val="00F47090"/>
    <w:rsid w:val="00F47D1E"/>
    <w:rsid w:val="00F5078B"/>
    <w:rsid w:val="00F507BD"/>
    <w:rsid w:val="00F51286"/>
    <w:rsid w:val="00F53ADD"/>
    <w:rsid w:val="00F53F5A"/>
    <w:rsid w:val="00F543DA"/>
    <w:rsid w:val="00F54E37"/>
    <w:rsid w:val="00F54FBD"/>
    <w:rsid w:val="00F55942"/>
    <w:rsid w:val="00F55BC7"/>
    <w:rsid w:val="00F573C5"/>
    <w:rsid w:val="00F605CE"/>
    <w:rsid w:val="00F61FF6"/>
    <w:rsid w:val="00F62973"/>
    <w:rsid w:val="00F62F95"/>
    <w:rsid w:val="00F632D3"/>
    <w:rsid w:val="00F6584A"/>
    <w:rsid w:val="00F66B71"/>
    <w:rsid w:val="00F67185"/>
    <w:rsid w:val="00F703E0"/>
    <w:rsid w:val="00F71A18"/>
    <w:rsid w:val="00F72428"/>
    <w:rsid w:val="00F730D9"/>
    <w:rsid w:val="00F75275"/>
    <w:rsid w:val="00F753BC"/>
    <w:rsid w:val="00F754C8"/>
    <w:rsid w:val="00F77F5E"/>
    <w:rsid w:val="00F80F58"/>
    <w:rsid w:val="00F816AB"/>
    <w:rsid w:val="00F83568"/>
    <w:rsid w:val="00F85546"/>
    <w:rsid w:val="00F861ED"/>
    <w:rsid w:val="00F868FD"/>
    <w:rsid w:val="00F86BB3"/>
    <w:rsid w:val="00F87483"/>
    <w:rsid w:val="00F90F83"/>
    <w:rsid w:val="00F926A8"/>
    <w:rsid w:val="00F92E37"/>
    <w:rsid w:val="00F9330C"/>
    <w:rsid w:val="00F9440C"/>
    <w:rsid w:val="00F94785"/>
    <w:rsid w:val="00F96193"/>
    <w:rsid w:val="00F969CB"/>
    <w:rsid w:val="00FA03F5"/>
    <w:rsid w:val="00FA101E"/>
    <w:rsid w:val="00FA17E4"/>
    <w:rsid w:val="00FA2746"/>
    <w:rsid w:val="00FA2925"/>
    <w:rsid w:val="00FA5E51"/>
    <w:rsid w:val="00FB1652"/>
    <w:rsid w:val="00FB167F"/>
    <w:rsid w:val="00FB307E"/>
    <w:rsid w:val="00FB41A4"/>
    <w:rsid w:val="00FB44F7"/>
    <w:rsid w:val="00FB55F0"/>
    <w:rsid w:val="00FC20C6"/>
    <w:rsid w:val="00FC22C5"/>
    <w:rsid w:val="00FC273C"/>
    <w:rsid w:val="00FC2BBB"/>
    <w:rsid w:val="00FC2C02"/>
    <w:rsid w:val="00FC32FA"/>
    <w:rsid w:val="00FC41A7"/>
    <w:rsid w:val="00FC4266"/>
    <w:rsid w:val="00FC485D"/>
    <w:rsid w:val="00FC6140"/>
    <w:rsid w:val="00FC651E"/>
    <w:rsid w:val="00FC667D"/>
    <w:rsid w:val="00FC6EA8"/>
    <w:rsid w:val="00FC74EB"/>
    <w:rsid w:val="00FD0292"/>
    <w:rsid w:val="00FD2773"/>
    <w:rsid w:val="00FD2945"/>
    <w:rsid w:val="00FD3151"/>
    <w:rsid w:val="00FD4F51"/>
    <w:rsid w:val="00FD719F"/>
    <w:rsid w:val="00FD7DF8"/>
    <w:rsid w:val="00FE00D1"/>
    <w:rsid w:val="00FE2DC4"/>
    <w:rsid w:val="00FE4237"/>
    <w:rsid w:val="00FE4DDC"/>
    <w:rsid w:val="00FE5639"/>
    <w:rsid w:val="00FE5E6D"/>
    <w:rsid w:val="00FE6B10"/>
    <w:rsid w:val="00FE6D88"/>
    <w:rsid w:val="00FE7338"/>
    <w:rsid w:val="00FE7BDF"/>
    <w:rsid w:val="00FE7CA9"/>
    <w:rsid w:val="00FF26AC"/>
    <w:rsid w:val="00FF27E7"/>
    <w:rsid w:val="00FF3729"/>
    <w:rsid w:val="00FF482E"/>
    <w:rsid w:val="00FF6182"/>
    <w:rsid w:val="00FF6C96"/>
    <w:rsid w:val="01B4976E"/>
    <w:rsid w:val="02067664"/>
    <w:rsid w:val="02778639"/>
    <w:rsid w:val="028681A5"/>
    <w:rsid w:val="0296675D"/>
    <w:rsid w:val="036937D1"/>
    <w:rsid w:val="039807C1"/>
    <w:rsid w:val="03BF7EA2"/>
    <w:rsid w:val="03E40C72"/>
    <w:rsid w:val="03F19D88"/>
    <w:rsid w:val="03F85E33"/>
    <w:rsid w:val="03FD05E5"/>
    <w:rsid w:val="0469FC11"/>
    <w:rsid w:val="047A6AC1"/>
    <w:rsid w:val="05AEB577"/>
    <w:rsid w:val="067584CD"/>
    <w:rsid w:val="06EA2EF2"/>
    <w:rsid w:val="0709F198"/>
    <w:rsid w:val="079E21E8"/>
    <w:rsid w:val="08E8CAC6"/>
    <w:rsid w:val="0902A27A"/>
    <w:rsid w:val="09513B90"/>
    <w:rsid w:val="095D9A67"/>
    <w:rsid w:val="095E4D66"/>
    <w:rsid w:val="0A083D59"/>
    <w:rsid w:val="0A616030"/>
    <w:rsid w:val="0A9E8FEB"/>
    <w:rsid w:val="0ADA9F5C"/>
    <w:rsid w:val="0AE6ADCE"/>
    <w:rsid w:val="0AEA0C2A"/>
    <w:rsid w:val="0BB62342"/>
    <w:rsid w:val="0BC8E918"/>
    <w:rsid w:val="0C3F7734"/>
    <w:rsid w:val="0C4026FD"/>
    <w:rsid w:val="0C905953"/>
    <w:rsid w:val="0CD71B3B"/>
    <w:rsid w:val="0D1D3B3E"/>
    <w:rsid w:val="0D345474"/>
    <w:rsid w:val="0DF93FDA"/>
    <w:rsid w:val="0E062A06"/>
    <w:rsid w:val="0E418228"/>
    <w:rsid w:val="0E98B8A2"/>
    <w:rsid w:val="0EAB2054"/>
    <w:rsid w:val="0EF93420"/>
    <w:rsid w:val="0F59658A"/>
    <w:rsid w:val="0F6802B1"/>
    <w:rsid w:val="0FECA108"/>
    <w:rsid w:val="10375BCD"/>
    <w:rsid w:val="104FFD0E"/>
    <w:rsid w:val="1087533E"/>
    <w:rsid w:val="10E4B337"/>
    <w:rsid w:val="11002CD9"/>
    <w:rsid w:val="1141A1F3"/>
    <w:rsid w:val="1150E975"/>
    <w:rsid w:val="11C3DF24"/>
    <w:rsid w:val="11CCD1E6"/>
    <w:rsid w:val="11D8715D"/>
    <w:rsid w:val="11F11371"/>
    <w:rsid w:val="1252D852"/>
    <w:rsid w:val="1300327D"/>
    <w:rsid w:val="13263C43"/>
    <w:rsid w:val="136D8AAA"/>
    <w:rsid w:val="14B05A11"/>
    <w:rsid w:val="14C1C6F6"/>
    <w:rsid w:val="14C5E7D9"/>
    <w:rsid w:val="15228B22"/>
    <w:rsid w:val="153E3093"/>
    <w:rsid w:val="15A8E491"/>
    <w:rsid w:val="15E322A3"/>
    <w:rsid w:val="16108226"/>
    <w:rsid w:val="1614EFE5"/>
    <w:rsid w:val="16E010E8"/>
    <w:rsid w:val="171E8DCD"/>
    <w:rsid w:val="178D7B4E"/>
    <w:rsid w:val="179E9CD5"/>
    <w:rsid w:val="183601A2"/>
    <w:rsid w:val="19132547"/>
    <w:rsid w:val="19A6650C"/>
    <w:rsid w:val="1A912B77"/>
    <w:rsid w:val="1B56596F"/>
    <w:rsid w:val="1C004D41"/>
    <w:rsid w:val="1C2DF45C"/>
    <w:rsid w:val="1C30C179"/>
    <w:rsid w:val="1D0AB264"/>
    <w:rsid w:val="1D51092E"/>
    <w:rsid w:val="1DD06DA3"/>
    <w:rsid w:val="1E0970A8"/>
    <w:rsid w:val="1EA7256E"/>
    <w:rsid w:val="1ED08343"/>
    <w:rsid w:val="1F0C60A1"/>
    <w:rsid w:val="1F151DEF"/>
    <w:rsid w:val="1FA23193"/>
    <w:rsid w:val="2029137F"/>
    <w:rsid w:val="2037F232"/>
    <w:rsid w:val="20E20385"/>
    <w:rsid w:val="212CBFCE"/>
    <w:rsid w:val="215D7755"/>
    <w:rsid w:val="21C5B282"/>
    <w:rsid w:val="21F699A5"/>
    <w:rsid w:val="221D9D98"/>
    <w:rsid w:val="22C7FCB1"/>
    <w:rsid w:val="22D325E5"/>
    <w:rsid w:val="2303161E"/>
    <w:rsid w:val="23358705"/>
    <w:rsid w:val="234D5BCD"/>
    <w:rsid w:val="24250D3A"/>
    <w:rsid w:val="24327C9D"/>
    <w:rsid w:val="244532CB"/>
    <w:rsid w:val="24676EFE"/>
    <w:rsid w:val="24DAFCF1"/>
    <w:rsid w:val="251F6A1A"/>
    <w:rsid w:val="25447F81"/>
    <w:rsid w:val="255D25D7"/>
    <w:rsid w:val="25AA8193"/>
    <w:rsid w:val="25ECA7D5"/>
    <w:rsid w:val="262B07B2"/>
    <w:rsid w:val="2662FDB3"/>
    <w:rsid w:val="26822E7A"/>
    <w:rsid w:val="27888626"/>
    <w:rsid w:val="27C2C27A"/>
    <w:rsid w:val="27C8377C"/>
    <w:rsid w:val="27F8F055"/>
    <w:rsid w:val="2808AA2B"/>
    <w:rsid w:val="28E63450"/>
    <w:rsid w:val="290585AB"/>
    <w:rsid w:val="29224B42"/>
    <w:rsid w:val="2993FC05"/>
    <w:rsid w:val="29A3351D"/>
    <w:rsid w:val="29FA494E"/>
    <w:rsid w:val="2A1A1131"/>
    <w:rsid w:val="2A2BF495"/>
    <w:rsid w:val="2A63AFE1"/>
    <w:rsid w:val="2B3A721D"/>
    <w:rsid w:val="2B6C0D73"/>
    <w:rsid w:val="2BE3404F"/>
    <w:rsid w:val="2C239981"/>
    <w:rsid w:val="2C472C37"/>
    <w:rsid w:val="2C8BD2FD"/>
    <w:rsid w:val="2C99EEE5"/>
    <w:rsid w:val="2CAC646A"/>
    <w:rsid w:val="2CC930FF"/>
    <w:rsid w:val="2D016D4D"/>
    <w:rsid w:val="2E2E4D35"/>
    <w:rsid w:val="2E33DB55"/>
    <w:rsid w:val="2E57CA0F"/>
    <w:rsid w:val="2E87164F"/>
    <w:rsid w:val="2F14B58D"/>
    <w:rsid w:val="2F36A736"/>
    <w:rsid w:val="2F7F1822"/>
    <w:rsid w:val="2FAADE91"/>
    <w:rsid w:val="2FAF69D5"/>
    <w:rsid w:val="3052EF88"/>
    <w:rsid w:val="31403DFC"/>
    <w:rsid w:val="316FA54A"/>
    <w:rsid w:val="3173BE14"/>
    <w:rsid w:val="32289D14"/>
    <w:rsid w:val="322A2637"/>
    <w:rsid w:val="32BDE565"/>
    <w:rsid w:val="330ACAAA"/>
    <w:rsid w:val="33117C48"/>
    <w:rsid w:val="334BB514"/>
    <w:rsid w:val="335CA879"/>
    <w:rsid w:val="347F1572"/>
    <w:rsid w:val="350C52B8"/>
    <w:rsid w:val="35374D37"/>
    <w:rsid w:val="354DAD1B"/>
    <w:rsid w:val="3554804B"/>
    <w:rsid w:val="365C3C76"/>
    <w:rsid w:val="3664D757"/>
    <w:rsid w:val="3730CD57"/>
    <w:rsid w:val="374DB1D9"/>
    <w:rsid w:val="37B93C84"/>
    <w:rsid w:val="37D61FF2"/>
    <w:rsid w:val="388276A8"/>
    <w:rsid w:val="38873E08"/>
    <w:rsid w:val="390F735D"/>
    <w:rsid w:val="394E5904"/>
    <w:rsid w:val="3A5FDDED"/>
    <w:rsid w:val="3AB333BD"/>
    <w:rsid w:val="3AD685B5"/>
    <w:rsid w:val="3B55FBEA"/>
    <w:rsid w:val="3B566F14"/>
    <w:rsid w:val="3B7C909F"/>
    <w:rsid w:val="3B8D320F"/>
    <w:rsid w:val="3B9CCB9F"/>
    <w:rsid w:val="3BB5A9BF"/>
    <w:rsid w:val="3C381B07"/>
    <w:rsid w:val="3C51D1CB"/>
    <w:rsid w:val="3CB73923"/>
    <w:rsid w:val="3CDA6B6B"/>
    <w:rsid w:val="3D4C90E6"/>
    <w:rsid w:val="3D722CA4"/>
    <w:rsid w:val="3D9B0D40"/>
    <w:rsid w:val="3E6A886D"/>
    <w:rsid w:val="3EC0C5F1"/>
    <w:rsid w:val="3ECDCB87"/>
    <w:rsid w:val="3F4380D6"/>
    <w:rsid w:val="3F9D9831"/>
    <w:rsid w:val="3FA335AE"/>
    <w:rsid w:val="40106BA1"/>
    <w:rsid w:val="40160D21"/>
    <w:rsid w:val="40348C7B"/>
    <w:rsid w:val="40830AA4"/>
    <w:rsid w:val="408691B9"/>
    <w:rsid w:val="410F2726"/>
    <w:rsid w:val="411D1B59"/>
    <w:rsid w:val="41812EC9"/>
    <w:rsid w:val="41EF52DE"/>
    <w:rsid w:val="42027E7D"/>
    <w:rsid w:val="425C1745"/>
    <w:rsid w:val="4272AF7D"/>
    <w:rsid w:val="427E13E3"/>
    <w:rsid w:val="431EF625"/>
    <w:rsid w:val="43A4DDFC"/>
    <w:rsid w:val="441D5B4C"/>
    <w:rsid w:val="446A46DD"/>
    <w:rsid w:val="44F6A5F8"/>
    <w:rsid w:val="4575B972"/>
    <w:rsid w:val="459F2B08"/>
    <w:rsid w:val="45AF37C9"/>
    <w:rsid w:val="46BA8565"/>
    <w:rsid w:val="4778340E"/>
    <w:rsid w:val="48A0C0D8"/>
    <w:rsid w:val="48B58FE6"/>
    <w:rsid w:val="4947537C"/>
    <w:rsid w:val="49A03E77"/>
    <w:rsid w:val="49B5B6E6"/>
    <w:rsid w:val="4ADFCC0E"/>
    <w:rsid w:val="4AED0EDE"/>
    <w:rsid w:val="4B0A2051"/>
    <w:rsid w:val="4B0B7FBD"/>
    <w:rsid w:val="4B4FCFDF"/>
    <w:rsid w:val="4B8BB485"/>
    <w:rsid w:val="4B8F3A57"/>
    <w:rsid w:val="4BA14CE0"/>
    <w:rsid w:val="4BA90F6C"/>
    <w:rsid w:val="4BEE20F7"/>
    <w:rsid w:val="4BF3F420"/>
    <w:rsid w:val="4C075795"/>
    <w:rsid w:val="4C158AC7"/>
    <w:rsid w:val="4C3EE156"/>
    <w:rsid w:val="4C7BF57F"/>
    <w:rsid w:val="4CE6E0A6"/>
    <w:rsid w:val="4DB9E027"/>
    <w:rsid w:val="4E3FCFF9"/>
    <w:rsid w:val="4F1A97E3"/>
    <w:rsid w:val="4F3BE3CC"/>
    <w:rsid w:val="4F764DFA"/>
    <w:rsid w:val="50AC4310"/>
    <w:rsid w:val="50C1649C"/>
    <w:rsid w:val="51548D6C"/>
    <w:rsid w:val="517134E8"/>
    <w:rsid w:val="517F27EB"/>
    <w:rsid w:val="51906C82"/>
    <w:rsid w:val="51FDE439"/>
    <w:rsid w:val="52289C88"/>
    <w:rsid w:val="52A6C1AB"/>
    <w:rsid w:val="530F4FA0"/>
    <w:rsid w:val="53B8253C"/>
    <w:rsid w:val="53BC7098"/>
    <w:rsid w:val="53E9CF4E"/>
    <w:rsid w:val="54234925"/>
    <w:rsid w:val="5463D79D"/>
    <w:rsid w:val="548D1452"/>
    <w:rsid w:val="54F908DC"/>
    <w:rsid w:val="553B8B6D"/>
    <w:rsid w:val="576F6079"/>
    <w:rsid w:val="578F8AC9"/>
    <w:rsid w:val="57AC6BDE"/>
    <w:rsid w:val="57ED36FD"/>
    <w:rsid w:val="58103783"/>
    <w:rsid w:val="587BF179"/>
    <w:rsid w:val="58C44F6E"/>
    <w:rsid w:val="58C98045"/>
    <w:rsid w:val="58CB88E6"/>
    <w:rsid w:val="58E562D7"/>
    <w:rsid w:val="59147677"/>
    <w:rsid w:val="5930883B"/>
    <w:rsid w:val="59BA0B7E"/>
    <w:rsid w:val="59E0BC3A"/>
    <w:rsid w:val="5A03DEA8"/>
    <w:rsid w:val="5A48AAFC"/>
    <w:rsid w:val="5A76C5D6"/>
    <w:rsid w:val="5B11D7E6"/>
    <w:rsid w:val="5B3517D7"/>
    <w:rsid w:val="5B6B4F68"/>
    <w:rsid w:val="5B6C0487"/>
    <w:rsid w:val="5BE0D697"/>
    <w:rsid w:val="5C1DC124"/>
    <w:rsid w:val="5CCBA176"/>
    <w:rsid w:val="5D52C395"/>
    <w:rsid w:val="5D905DF2"/>
    <w:rsid w:val="5D95B46A"/>
    <w:rsid w:val="5DC208A3"/>
    <w:rsid w:val="5E158CFF"/>
    <w:rsid w:val="5E54BDA3"/>
    <w:rsid w:val="5E950891"/>
    <w:rsid w:val="5FE01BA0"/>
    <w:rsid w:val="5FE92B20"/>
    <w:rsid w:val="60A6766C"/>
    <w:rsid w:val="60B653E5"/>
    <w:rsid w:val="62081EAC"/>
    <w:rsid w:val="621D340A"/>
    <w:rsid w:val="624ED410"/>
    <w:rsid w:val="628E3110"/>
    <w:rsid w:val="62AC09A7"/>
    <w:rsid w:val="634AB294"/>
    <w:rsid w:val="651E79BD"/>
    <w:rsid w:val="658AC568"/>
    <w:rsid w:val="659C085F"/>
    <w:rsid w:val="65EDE23C"/>
    <w:rsid w:val="6678CD5D"/>
    <w:rsid w:val="67040954"/>
    <w:rsid w:val="675716CD"/>
    <w:rsid w:val="67C3F081"/>
    <w:rsid w:val="68215607"/>
    <w:rsid w:val="692FF011"/>
    <w:rsid w:val="69B870E6"/>
    <w:rsid w:val="69CBDEF5"/>
    <w:rsid w:val="6A0F7F78"/>
    <w:rsid w:val="6A29E043"/>
    <w:rsid w:val="6A2E83AA"/>
    <w:rsid w:val="6A3B50B7"/>
    <w:rsid w:val="6A8F8602"/>
    <w:rsid w:val="6B160051"/>
    <w:rsid w:val="6B175149"/>
    <w:rsid w:val="6B69931F"/>
    <w:rsid w:val="6BC922D5"/>
    <w:rsid w:val="6BE45017"/>
    <w:rsid w:val="6CB1CC5F"/>
    <w:rsid w:val="6CB8D2E7"/>
    <w:rsid w:val="6D7A44BE"/>
    <w:rsid w:val="6D9029CF"/>
    <w:rsid w:val="6DA57DCE"/>
    <w:rsid w:val="6DB924B0"/>
    <w:rsid w:val="6DBC55A4"/>
    <w:rsid w:val="6E4D2748"/>
    <w:rsid w:val="6E7C93EF"/>
    <w:rsid w:val="6EA4553C"/>
    <w:rsid w:val="6EC61BCB"/>
    <w:rsid w:val="6EE57D6D"/>
    <w:rsid w:val="6F03F028"/>
    <w:rsid w:val="6F5E4F64"/>
    <w:rsid w:val="6F843306"/>
    <w:rsid w:val="6FB83709"/>
    <w:rsid w:val="701FEBD3"/>
    <w:rsid w:val="7026858A"/>
    <w:rsid w:val="7029FE69"/>
    <w:rsid w:val="70338027"/>
    <w:rsid w:val="70E78F08"/>
    <w:rsid w:val="70EF4AB5"/>
    <w:rsid w:val="71123C04"/>
    <w:rsid w:val="71128F45"/>
    <w:rsid w:val="711596A2"/>
    <w:rsid w:val="7127B024"/>
    <w:rsid w:val="71CB1875"/>
    <w:rsid w:val="71E75AB4"/>
    <w:rsid w:val="7256BA0B"/>
    <w:rsid w:val="725980D1"/>
    <w:rsid w:val="7265B7E6"/>
    <w:rsid w:val="7283C61F"/>
    <w:rsid w:val="72CFF42B"/>
    <w:rsid w:val="73F4D292"/>
    <w:rsid w:val="74698E26"/>
    <w:rsid w:val="7580BE33"/>
    <w:rsid w:val="75AE2187"/>
    <w:rsid w:val="75B76D36"/>
    <w:rsid w:val="75D391EB"/>
    <w:rsid w:val="76192A81"/>
    <w:rsid w:val="768A63B0"/>
    <w:rsid w:val="76B14C7F"/>
    <w:rsid w:val="76E0A401"/>
    <w:rsid w:val="76FE02F0"/>
    <w:rsid w:val="771BA921"/>
    <w:rsid w:val="771FBB4D"/>
    <w:rsid w:val="77689375"/>
    <w:rsid w:val="77A9B833"/>
    <w:rsid w:val="785791F3"/>
    <w:rsid w:val="7930C3EE"/>
    <w:rsid w:val="793831EA"/>
    <w:rsid w:val="7A21B809"/>
    <w:rsid w:val="7A35A374"/>
    <w:rsid w:val="7A964042"/>
    <w:rsid w:val="7BFC9AF7"/>
    <w:rsid w:val="7C23935F"/>
    <w:rsid w:val="7C29BC90"/>
    <w:rsid w:val="7C2E194E"/>
    <w:rsid w:val="7C6F586D"/>
    <w:rsid w:val="7CB104AC"/>
    <w:rsid w:val="7E980F45"/>
    <w:rsid w:val="7EFDA927"/>
    <w:rsid w:val="7F2AA497"/>
    <w:rsid w:val="7F64B626"/>
    <w:rsid w:val="7FA3B5B2"/>
    <w:rsid w:val="7FA80829"/>
    <w:rsid w:val="7FAE0445"/>
    <w:rsid w:val="7FC5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BAFB"/>
  <w15:chartTrackingRefBased/>
  <w15:docId w15:val="{EEEF5A34-7542-43B8-BAEC-BB4CD652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EB"/>
    <w:pPr>
      <w:spacing w:before="160" w:line="312" w:lineRule="auto"/>
    </w:pPr>
    <w:rPr>
      <w:sz w:val="20"/>
    </w:rPr>
  </w:style>
  <w:style w:type="paragraph" w:styleId="Heading1">
    <w:name w:val="heading 1"/>
    <w:basedOn w:val="Normal"/>
    <w:next w:val="Normal"/>
    <w:link w:val="Heading1Char"/>
    <w:uiPriority w:val="9"/>
    <w:qFormat/>
    <w:rsid w:val="002509B5"/>
    <w:pPr>
      <w:keepNext/>
      <w:keepLines/>
      <w:numPr>
        <w:numId w:val="8"/>
      </w:numPr>
      <w:spacing w:before="280" w:line="240" w:lineRule="auto"/>
      <w:ind w:left="431" w:hanging="431"/>
      <w:outlineLvl w:val="0"/>
    </w:pPr>
    <w:rPr>
      <w:rFonts w:asciiTheme="majorHAnsi" w:eastAsiaTheme="majorEastAsia" w:hAnsiTheme="majorHAnsi" w:cstheme="majorBidi"/>
      <w:b/>
      <w:color w:val="15234A"/>
      <w:sz w:val="44"/>
      <w:szCs w:val="32"/>
    </w:rPr>
  </w:style>
  <w:style w:type="paragraph" w:styleId="Heading2">
    <w:name w:val="heading 2"/>
    <w:basedOn w:val="Normal"/>
    <w:next w:val="Normal"/>
    <w:link w:val="Heading2Char"/>
    <w:uiPriority w:val="9"/>
    <w:unhideWhenUsed/>
    <w:qFormat/>
    <w:rsid w:val="00B72C1A"/>
    <w:pPr>
      <w:keepNext/>
      <w:keepLines/>
      <w:numPr>
        <w:ilvl w:val="1"/>
        <w:numId w:val="8"/>
      </w:numPr>
      <w:spacing w:before="280" w:line="240" w:lineRule="auto"/>
      <w:outlineLvl w:val="1"/>
    </w:pPr>
    <w:rPr>
      <w:rFonts w:asciiTheme="majorHAnsi" w:eastAsiaTheme="majorEastAsia" w:hAnsiTheme="majorHAnsi" w:cstheme="majorBidi"/>
      <w:b/>
      <w:color w:val="15234A"/>
      <w:sz w:val="28"/>
      <w:szCs w:val="26"/>
    </w:rPr>
  </w:style>
  <w:style w:type="paragraph" w:styleId="Heading3">
    <w:name w:val="heading 3"/>
    <w:basedOn w:val="Normal"/>
    <w:next w:val="Normal"/>
    <w:link w:val="Heading3Char"/>
    <w:uiPriority w:val="9"/>
    <w:semiHidden/>
    <w:unhideWhenUsed/>
    <w:qFormat/>
    <w:rsid w:val="004B5F7D"/>
    <w:pPr>
      <w:keepNext/>
      <w:keepLines/>
      <w:numPr>
        <w:ilvl w:val="2"/>
        <w:numId w:val="8"/>
      </w:numPr>
      <w:spacing w:before="240" w:line="240" w:lineRule="auto"/>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iPriority w:val="9"/>
    <w:semiHidden/>
    <w:unhideWhenUsed/>
    <w:qFormat/>
    <w:rsid w:val="004B5F7D"/>
    <w:pPr>
      <w:keepNext/>
      <w:keepLines/>
      <w:numPr>
        <w:ilvl w:val="3"/>
        <w:numId w:val="8"/>
      </w:numPr>
      <w:spacing w:before="280" w:line="240" w:lineRule="auto"/>
      <w:outlineLvl w:val="3"/>
    </w:pPr>
    <w:rPr>
      <w:rFonts w:asciiTheme="majorHAnsi" w:eastAsiaTheme="majorEastAsia" w:hAnsiTheme="majorHAnsi" w:cstheme="majorBidi"/>
      <w:b/>
      <w:iCs/>
      <w:sz w:val="26"/>
    </w:rPr>
  </w:style>
  <w:style w:type="paragraph" w:styleId="Heading5">
    <w:name w:val="heading 5"/>
    <w:basedOn w:val="Normal"/>
    <w:next w:val="Normal"/>
    <w:link w:val="Heading5Char"/>
    <w:uiPriority w:val="9"/>
    <w:semiHidden/>
    <w:unhideWhenUsed/>
    <w:qFormat/>
    <w:rsid w:val="004B5F7D"/>
    <w:pPr>
      <w:keepNext/>
      <w:keepLines/>
      <w:numPr>
        <w:ilvl w:val="4"/>
        <w:numId w:val="8"/>
      </w:numPr>
      <w:spacing w:before="200" w:line="240" w:lineRule="auto"/>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numPr>
        <w:ilvl w:val="5"/>
        <w:numId w:val="8"/>
      </w:numPr>
      <w:spacing w:before="240" w:line="240" w:lineRule="auto"/>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numPr>
        <w:ilvl w:val="6"/>
        <w:numId w:val="8"/>
      </w:numPr>
      <w:spacing w:before="240" w:line="240" w:lineRule="auto"/>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numPr>
        <w:ilvl w:val="7"/>
        <w:numId w:val="8"/>
      </w:numPr>
      <w:spacing w:before="240" w:line="240" w:lineRule="auto"/>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numPr>
        <w:ilvl w:val="8"/>
        <w:numId w:val="8"/>
      </w:numPr>
      <w:spacing w:before="240" w:line="240" w:lineRule="auto"/>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99"/>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unhideWhenUsed/>
    <w:rsid w:val="003F33E7"/>
    <w:pPr>
      <w:spacing w:before="0"/>
    </w:pPr>
    <w:rPr>
      <w:rFonts w:ascii="Arial" w:eastAsia="Arial" w:hAnsi="Arial" w:cs="Arial"/>
      <w:szCs w:val="20"/>
      <w:lang w:val="nl-BE" w:eastAsia="en-GB"/>
    </w:rPr>
  </w:style>
  <w:style w:type="character" w:customStyle="1" w:styleId="CommentTextChar">
    <w:name w:val="Comment Text Char"/>
    <w:basedOn w:val="DefaultParagraphFont"/>
    <w:link w:val="CommentText"/>
    <w:uiPriority w:val="99"/>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pPr>
      <w:spacing w:before="0"/>
    </w:pPr>
    <w:rPr>
      <w:sz w:val="18"/>
      <w:szCs w:val="20"/>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szCs w:val="20"/>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szCs w:val="20"/>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semiHidden/>
    <w:unhideWhenUsed/>
    <w:rsid w:val="003F33E7"/>
    <w:pPr>
      <w:spacing w:before="0"/>
    </w:pPr>
    <w:rPr>
      <w:sz w:val="18"/>
      <w:szCs w:val="20"/>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before="0"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before="0"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eastAsia="Times New Roman" w:hAnsi="Times New Roman" w:cs="Times New Roman"/>
      <w:sz w:val="24"/>
      <w:szCs w:val="24"/>
      <w:lang w:val="nl-NL" w:eastAsia="nl-NL"/>
    </w:rPr>
  </w:style>
  <w:style w:type="character" w:styleId="PageNumber">
    <w:name w:val="page number"/>
    <w:basedOn w:val="DefaultParagraphFont"/>
    <w:uiPriority w:val="99"/>
    <w:semiHidden/>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line="240" w:lineRule="auto"/>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uiPriority w:val="39"/>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line="240" w:lineRule="auto"/>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uiPriority w:val="9"/>
    <w:rsid w:val="002509B5"/>
    <w:rPr>
      <w:rFonts w:asciiTheme="majorHAnsi" w:eastAsiaTheme="majorEastAsia" w:hAnsiTheme="majorHAnsi" w:cstheme="majorBidi"/>
      <w:b/>
      <w:color w:val="15234A"/>
      <w:sz w:val="44"/>
      <w:szCs w:val="32"/>
    </w:rPr>
  </w:style>
  <w:style w:type="paragraph" w:styleId="TOCHeading">
    <w:name w:val="TOC Heading"/>
    <w:next w:val="Normal"/>
    <w:uiPriority w:val="39"/>
    <w:semiHidden/>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semiHidden/>
    <w:rsid w:val="00230677"/>
    <w:pPr>
      <w:tabs>
        <w:tab w:val="right" w:leader="underscore" w:pos="9072"/>
      </w:tabs>
      <w:spacing w:after="100" w:line="240" w:lineRule="auto"/>
    </w:pPr>
    <w:rPr>
      <w:b/>
      <w:color w:val="15234A" w:themeColor="text2"/>
      <w:sz w:val="28"/>
    </w:rPr>
  </w:style>
  <w:style w:type="paragraph" w:customStyle="1" w:styleId="Tabletext">
    <w:name w:val="Table text"/>
    <w:basedOn w:val="Normal"/>
    <w:link w:val="TabletextChar"/>
    <w:uiPriority w:val="16"/>
    <w:qFormat/>
    <w:rsid w:val="006263B4"/>
    <w:pPr>
      <w:spacing w:before="0" w:line="240" w:lineRule="auto"/>
    </w:pPr>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basedOn w:val="DefaultParagraphFont"/>
    <w:link w:val="Heading2"/>
    <w:uiPriority w:val="9"/>
    <w:rsid w:val="00B72C1A"/>
    <w:rPr>
      <w:rFonts w:asciiTheme="majorHAnsi" w:eastAsiaTheme="majorEastAsia" w:hAnsiTheme="majorHAnsi" w:cstheme="majorBidi"/>
      <w:b/>
      <w:color w:val="15234A"/>
      <w:sz w:val="28"/>
      <w:szCs w:val="26"/>
    </w:rPr>
  </w:style>
  <w:style w:type="character" w:customStyle="1" w:styleId="Heading3Char">
    <w:name w:val="Heading 3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line="240" w:lineRule="auto"/>
    </w:pPr>
    <w:rPr>
      <w:color w:val="15234A"/>
    </w:rPr>
  </w:style>
  <w:style w:type="paragraph" w:styleId="TOC6">
    <w:name w:val="toc 6"/>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line="240" w:lineRule="auto"/>
    </w:pPr>
    <w:rPr>
      <w:color w:val="15234A"/>
    </w:rPr>
  </w:style>
  <w:style w:type="paragraph" w:styleId="TOC4">
    <w:name w:val="toc 4"/>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3">
    <w:name w:val="toc 3"/>
    <w:basedOn w:val="Normal"/>
    <w:next w:val="Normal"/>
    <w:autoRedefine/>
    <w:uiPriority w:val="39"/>
    <w:semiHidden/>
    <w:rsid w:val="00711A2B"/>
    <w:pPr>
      <w:tabs>
        <w:tab w:val="right" w:leader="underscore" w:pos="9072"/>
      </w:tabs>
      <w:spacing w:after="100" w:line="240" w:lineRule="auto"/>
    </w:pPr>
    <w:rPr>
      <w:color w:val="000000"/>
    </w:rPr>
  </w:style>
  <w:style w:type="paragraph" w:styleId="TOC2">
    <w:name w:val="toc 2"/>
    <w:basedOn w:val="Normal"/>
    <w:next w:val="Normal"/>
    <w:autoRedefine/>
    <w:uiPriority w:val="39"/>
    <w:semiHidden/>
    <w:rsid w:val="00E778EB"/>
    <w:pPr>
      <w:tabs>
        <w:tab w:val="right" w:leader="underscore" w:pos="9072"/>
      </w:tabs>
      <w:spacing w:after="100"/>
    </w:pPr>
    <w:rPr>
      <w:b/>
      <w:color w:val="15234A"/>
    </w:rPr>
  </w:style>
  <w:style w:type="character" w:styleId="UnresolvedMention">
    <w:name w:val="Unresolved Mention"/>
    <w:basedOn w:val="DefaultParagraphFont"/>
    <w:uiPriority w:val="99"/>
    <w:semiHidden/>
    <w:unhideWhenUsed/>
    <w:rsid w:val="00844F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1B3D"/>
    <w:pPr>
      <w:spacing w:before="160" w:line="240" w:lineRule="auto"/>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71B3D"/>
    <w:rPr>
      <w:rFonts w:ascii="Arial" w:eastAsia="Arial" w:hAnsi="Arial" w:cs="Arial"/>
      <w:b/>
      <w:bCs/>
      <w:sz w:val="20"/>
      <w:szCs w:val="20"/>
      <w:lang w:val="nl-BE" w:eastAsia="en-GB"/>
    </w:rPr>
  </w:style>
  <w:style w:type="paragraph" w:styleId="Revision">
    <w:name w:val="Revision"/>
    <w:hidden/>
    <w:uiPriority w:val="99"/>
    <w:semiHidden/>
    <w:rsid w:val="00D87CCA"/>
    <w:pPr>
      <w:spacing w:before="0" w:line="240" w:lineRule="auto"/>
    </w:pPr>
    <w:rPr>
      <w:sz w:val="20"/>
    </w:rPr>
  </w:style>
  <w:style w:type="character" w:styleId="Mention">
    <w:name w:val="Mention"/>
    <w:basedOn w:val="DefaultParagraphFont"/>
    <w:uiPriority w:val="99"/>
    <w:unhideWhenUsed/>
    <w:rsid w:val="000C7CF5"/>
    <w:rPr>
      <w:color w:val="2B579A"/>
      <w:shd w:val="clear" w:color="auto" w:fill="E1DFDD"/>
    </w:rPr>
  </w:style>
  <w:style w:type="character" w:styleId="FollowedHyperlink">
    <w:name w:val="FollowedHyperlink"/>
    <w:basedOn w:val="DefaultParagraphFont"/>
    <w:uiPriority w:val="99"/>
    <w:semiHidden/>
    <w:unhideWhenUsed/>
    <w:rsid w:val="00EE3C8A"/>
    <w:rPr>
      <w:color w:val="91D6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452">
      <w:bodyDiv w:val="1"/>
      <w:marLeft w:val="0"/>
      <w:marRight w:val="0"/>
      <w:marTop w:val="0"/>
      <w:marBottom w:val="0"/>
      <w:divBdr>
        <w:top w:val="none" w:sz="0" w:space="0" w:color="auto"/>
        <w:left w:val="none" w:sz="0" w:space="0" w:color="auto"/>
        <w:bottom w:val="none" w:sz="0" w:space="0" w:color="auto"/>
        <w:right w:val="none" w:sz="0" w:space="0" w:color="auto"/>
      </w:divBdr>
    </w:div>
    <w:div w:id="178159056">
      <w:bodyDiv w:val="1"/>
      <w:marLeft w:val="0"/>
      <w:marRight w:val="0"/>
      <w:marTop w:val="0"/>
      <w:marBottom w:val="0"/>
      <w:divBdr>
        <w:top w:val="none" w:sz="0" w:space="0" w:color="auto"/>
        <w:left w:val="none" w:sz="0" w:space="0" w:color="auto"/>
        <w:bottom w:val="none" w:sz="0" w:space="0" w:color="auto"/>
        <w:right w:val="none" w:sz="0" w:space="0" w:color="auto"/>
      </w:divBdr>
    </w:div>
    <w:div w:id="190268704">
      <w:bodyDiv w:val="1"/>
      <w:marLeft w:val="0"/>
      <w:marRight w:val="0"/>
      <w:marTop w:val="0"/>
      <w:marBottom w:val="0"/>
      <w:divBdr>
        <w:top w:val="none" w:sz="0" w:space="0" w:color="auto"/>
        <w:left w:val="none" w:sz="0" w:space="0" w:color="auto"/>
        <w:bottom w:val="none" w:sz="0" w:space="0" w:color="auto"/>
        <w:right w:val="none" w:sz="0" w:space="0" w:color="auto"/>
      </w:divBdr>
    </w:div>
    <w:div w:id="317610512">
      <w:bodyDiv w:val="1"/>
      <w:marLeft w:val="0"/>
      <w:marRight w:val="0"/>
      <w:marTop w:val="0"/>
      <w:marBottom w:val="0"/>
      <w:divBdr>
        <w:top w:val="none" w:sz="0" w:space="0" w:color="auto"/>
        <w:left w:val="none" w:sz="0" w:space="0" w:color="auto"/>
        <w:bottom w:val="none" w:sz="0" w:space="0" w:color="auto"/>
        <w:right w:val="none" w:sz="0" w:space="0" w:color="auto"/>
      </w:divBdr>
    </w:div>
    <w:div w:id="682589578">
      <w:bodyDiv w:val="1"/>
      <w:marLeft w:val="0"/>
      <w:marRight w:val="0"/>
      <w:marTop w:val="0"/>
      <w:marBottom w:val="0"/>
      <w:divBdr>
        <w:top w:val="none" w:sz="0" w:space="0" w:color="auto"/>
        <w:left w:val="none" w:sz="0" w:space="0" w:color="auto"/>
        <w:bottom w:val="none" w:sz="0" w:space="0" w:color="auto"/>
        <w:right w:val="none" w:sz="0" w:space="0" w:color="auto"/>
      </w:divBdr>
    </w:div>
    <w:div w:id="713038267">
      <w:bodyDiv w:val="1"/>
      <w:marLeft w:val="0"/>
      <w:marRight w:val="0"/>
      <w:marTop w:val="0"/>
      <w:marBottom w:val="0"/>
      <w:divBdr>
        <w:top w:val="none" w:sz="0" w:space="0" w:color="auto"/>
        <w:left w:val="none" w:sz="0" w:space="0" w:color="auto"/>
        <w:bottom w:val="none" w:sz="0" w:space="0" w:color="auto"/>
        <w:right w:val="none" w:sz="0" w:space="0" w:color="auto"/>
      </w:divBdr>
    </w:div>
    <w:div w:id="1101678917">
      <w:bodyDiv w:val="1"/>
      <w:marLeft w:val="0"/>
      <w:marRight w:val="0"/>
      <w:marTop w:val="0"/>
      <w:marBottom w:val="0"/>
      <w:divBdr>
        <w:top w:val="none" w:sz="0" w:space="0" w:color="auto"/>
        <w:left w:val="none" w:sz="0" w:space="0" w:color="auto"/>
        <w:bottom w:val="none" w:sz="0" w:space="0" w:color="auto"/>
        <w:right w:val="none" w:sz="0" w:space="0" w:color="auto"/>
      </w:divBdr>
    </w:div>
    <w:div w:id="1336418612">
      <w:bodyDiv w:val="1"/>
      <w:marLeft w:val="0"/>
      <w:marRight w:val="0"/>
      <w:marTop w:val="0"/>
      <w:marBottom w:val="0"/>
      <w:divBdr>
        <w:top w:val="none" w:sz="0" w:space="0" w:color="auto"/>
        <w:left w:val="none" w:sz="0" w:space="0" w:color="auto"/>
        <w:bottom w:val="none" w:sz="0" w:space="0" w:color="auto"/>
        <w:right w:val="none" w:sz="0" w:space="0" w:color="auto"/>
      </w:divBdr>
    </w:div>
    <w:div w:id="15052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lng@fluxys.com" TargetMode="External"/><Relationship Id="rId2" Type="http://schemas.openxmlformats.org/officeDocument/2006/relationships/customXml" Target="../customXml/item2.xml"/><Relationship Id="rId16" Type="http://schemas.openxmlformats.org/officeDocument/2006/relationships/hyperlink" Target="mailto:info.lng@fluxy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luxys.com/-/media/project/fluxys/public/corporate/fluxyscom/documents/fluxys-belgium/commercial/terms_conditions-and-contracts/transmission/kyc-form/kyc-form---version-april-2024.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uxys.com/en/products-services/empowering-you/tariffs/tariff_fluxyslng-l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3%20-%20Fluxys%20LNG\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4d468-7374-449d-85bc-f9e6cfdf7136">
      <Terms xmlns="http://schemas.microsoft.com/office/infopath/2007/PartnerControls"/>
    </lcf76f155ced4ddcb4097134ff3c332f>
    <TaxCatchAll xmlns="b41142d6-22e3-4cba-8540-8b480cfc90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E808814C2B24DAEE59CAA2CBB9036" ma:contentTypeVersion="14" ma:contentTypeDescription="Create a new document." ma:contentTypeScope="" ma:versionID="170d8d3b40e6b7c64ea101308baa26b9">
  <xsd:schema xmlns:xsd="http://www.w3.org/2001/XMLSchema" xmlns:xs="http://www.w3.org/2001/XMLSchema" xmlns:p="http://schemas.microsoft.com/office/2006/metadata/properties" xmlns:ns2="bfd4d468-7374-449d-85bc-f9e6cfdf7136" xmlns:ns3="b41142d6-22e3-4cba-8540-8b480cfc90c2" targetNamespace="http://schemas.microsoft.com/office/2006/metadata/properties" ma:root="true" ma:fieldsID="1a61753265d98e05266df6a121d29f79" ns2:_="" ns3:_="">
    <xsd:import namespace="bfd4d468-7374-449d-85bc-f9e6cfdf7136"/>
    <xsd:import namespace="b41142d6-22e3-4cba-8540-8b480cfc90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d468-7374-449d-85bc-f9e6cfdf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142d6-22e3-4cba-8540-8b480cfc90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8943c0e-caa6-4aad-b037-541360ca6678}" ma:internalName="TaxCatchAll" ma:showField="CatchAllData" ma:web="b41142d6-22e3-4cba-8540-8b480cfc9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ABB48-2868-4F89-8307-6C3118C5ADD8}">
  <ds:schemaRefs>
    <ds:schemaRef ds:uri="http://schemas.openxmlformats.org/officeDocument/2006/bibliography"/>
  </ds:schemaRefs>
</ds:datastoreItem>
</file>

<file path=customXml/itemProps2.xml><?xml version="1.0" encoding="utf-8"?>
<ds:datastoreItem xmlns:ds="http://schemas.openxmlformats.org/officeDocument/2006/customXml" ds:itemID="{07F66D8A-6C0E-4515-88B6-8F861649279C}">
  <ds:schemaRefs>
    <ds:schemaRef ds:uri="http://schemas.microsoft.com/office/2006/metadata/properties"/>
    <ds:schemaRef ds:uri="http://schemas.microsoft.com/office/infopath/2007/PartnerControls"/>
    <ds:schemaRef ds:uri="576bbfef-64bf-4ee0-b4dc-0b141a56441e"/>
  </ds:schemaRefs>
</ds:datastoreItem>
</file>

<file path=customXml/itemProps3.xml><?xml version="1.0" encoding="utf-8"?>
<ds:datastoreItem xmlns:ds="http://schemas.openxmlformats.org/officeDocument/2006/customXml" ds:itemID="{BC0C07BB-F06F-4B59-8778-63734E997C0E}"/>
</file>

<file path=customXml/itemProps4.xml><?xml version="1.0" encoding="utf-8"?>
<ds:datastoreItem xmlns:ds="http://schemas.openxmlformats.org/officeDocument/2006/customXml" ds:itemID="{FEC968CF-B94C-40EF-9203-CE25693D8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1_Fluxys_general_word_template.dotx</Template>
  <TotalTime>0</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Links>
    <vt:vector size="24" baseType="variant">
      <vt:variant>
        <vt:i4>262251</vt:i4>
      </vt:variant>
      <vt:variant>
        <vt:i4>15</vt:i4>
      </vt:variant>
      <vt:variant>
        <vt:i4>0</vt:i4>
      </vt:variant>
      <vt:variant>
        <vt:i4>5</vt:i4>
      </vt:variant>
      <vt:variant>
        <vt:lpwstr>mailto:info.lng@fluxys.com</vt:lpwstr>
      </vt:variant>
      <vt:variant>
        <vt:lpwstr/>
      </vt:variant>
      <vt:variant>
        <vt:i4>262251</vt:i4>
      </vt:variant>
      <vt:variant>
        <vt:i4>9</vt:i4>
      </vt:variant>
      <vt:variant>
        <vt:i4>0</vt:i4>
      </vt:variant>
      <vt:variant>
        <vt:i4>5</vt:i4>
      </vt:variant>
      <vt:variant>
        <vt:lpwstr>mailto:info.lng@fluxys.com</vt:lpwstr>
      </vt:variant>
      <vt:variant>
        <vt:lpwstr/>
      </vt:variant>
      <vt:variant>
        <vt:i4>458874</vt:i4>
      </vt:variant>
      <vt:variant>
        <vt:i4>6</vt:i4>
      </vt:variant>
      <vt:variant>
        <vt:i4>0</vt:i4>
      </vt:variant>
      <vt:variant>
        <vt:i4>5</vt:i4>
      </vt:variant>
      <vt:variant>
        <vt:lpwstr>https://www.fluxys.com/-/media/project/fluxys/public/corporate/fluxyscom/documents/fluxys-belgium/commercial/terms_conditions-and-contracts/transmission/kyc-form/kyc-form---version-april-2024.docx</vt:lpwstr>
      </vt:variant>
      <vt:variant>
        <vt:lpwstr/>
      </vt:variant>
      <vt:variant>
        <vt:i4>4980779</vt:i4>
      </vt:variant>
      <vt:variant>
        <vt:i4>0</vt:i4>
      </vt:variant>
      <vt:variant>
        <vt:i4>0</vt:i4>
      </vt:variant>
      <vt:variant>
        <vt:i4>5</vt:i4>
      </vt:variant>
      <vt:variant>
        <vt:lpwstr>https://www.fluxys.com/en/products-services/empowering-you/tariffs/tariff_fluxyslng-lng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Cauwe Simon</dc:creator>
  <cp:keywords/>
  <dc:description/>
  <cp:lastModifiedBy>Otto Thibaut</cp:lastModifiedBy>
  <cp:revision>10</cp:revision>
  <dcterms:created xsi:type="dcterms:W3CDTF">2024-06-13T08:00:00Z</dcterms:created>
  <dcterms:modified xsi:type="dcterms:W3CDTF">2024-06-13T08:09:00Z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0x0101002831930B9904D34DB584F2DDC19730FC</vt:lpwstr>
  </property>
  <property fmtid="{D5CDD505-2E9C-101B-9397-08002B2CF9AE}" pid="3" name="MediaServiceImageTags">
    <vt:lpwstr/>
  </property>
</Properties>
</file>